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418460</w:t>
      </w:r>
      <w:bookmarkStart w:id="10" w:name="_GoBack"/>
      <w:bookmarkEnd w:id="10"/>
      <w:r>
        <w:rPr>
          <w:b/>
          <w:sz w:val="24"/>
          <w:szCs w:val="24"/>
          <w:highlight w:val="none"/>
        </w:rPr>
        <w:t xml:space="preserve">                          </w:t>
      </w:r>
    </w:p>
    <w:bookmarkEnd w:id="0"/>
    <w:bookmarkEnd w:id="1"/>
    <w:p w14:paraId="59CC17FC">
      <w:pPr>
        <w:pStyle w:val="8"/>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eastAsia="宋体"/>
          <w:b/>
          <w:sz w:val="24"/>
          <w:szCs w:val="24"/>
          <w:highlight w:val="none"/>
          <w:lang w:val="en-US" w:eastAsia="zh-CN"/>
        </w:rPr>
        <w:t xml:space="preserve"> - </w:t>
      </w:r>
      <w:r>
        <w:rPr>
          <w:rFonts w:hint="eastAsia"/>
          <w:b/>
          <w:sz w:val="24"/>
          <w:szCs w:val="24"/>
          <w:highlight w:val="none"/>
        </w:rPr>
        <w:t>22</w:t>
      </w:r>
      <w:r>
        <w:rPr>
          <w:rFonts w:hint="eastAsia"/>
          <w:b/>
          <w:sz w:val="24"/>
          <w:szCs w:val="24"/>
          <w:highlight w:val="none"/>
          <w:vertAlign w:val="superscript"/>
        </w:rPr>
        <w:t>nd</w:t>
      </w:r>
      <w:r>
        <w:rPr>
          <w:rFonts w:hint="eastAsia"/>
          <w:b/>
          <w:sz w:val="24"/>
          <w:szCs w:val="24"/>
          <w:highlight w:val="none"/>
        </w:rPr>
        <w:t xml:space="preserve"> November, 2024</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18</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impacts </w:t>
      </w:r>
      <w:r>
        <w:rPr>
          <w:rFonts w:hint="eastAsia" w:ascii="Times New Roman" w:hAnsi="Times New Roman"/>
          <w:sz w:val="22"/>
          <w:lang w:val="en-US" w:eastAsia="zh-CN"/>
        </w:rPr>
        <w:t>on RAN4 requirements for AI/ML for mobilit</w:t>
      </w:r>
      <w:r>
        <w:rPr>
          <w:rFonts w:hint="eastAsia" w:ascii="Times New Roman" w:hAnsi="Times New Roman"/>
          <w:sz w:val="22"/>
          <w:highlight w:val="none"/>
          <w:lang w:val="en-US" w:eastAsia="zh-CN"/>
        </w:rPr>
        <w:t>y</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[1].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8A7EA0D">
            <w:pPr>
              <w:widowControl w:val="0"/>
              <w:numPr>
                <w:ilvl w:val="0"/>
                <w:numId w:val="3"/>
              </w:numPr>
              <w:overflowPunct/>
              <w:autoSpaceDE/>
              <w:autoSpaceDN/>
              <w:adjustRightInd/>
              <w:spacing w:after="0"/>
              <w:ind w:hanging="357"/>
              <w:jc w:val="both"/>
              <w:textAlignment w:val="auto"/>
              <w:rPr>
                <w:rFonts w:hint="default" w:ascii="Times New Roman" w:hAnsi="Times New Roman" w:cs="Times New Roman"/>
                <w:bCs/>
                <w:sz w:val="20"/>
                <w:szCs w:val="20"/>
              </w:rPr>
            </w:pPr>
            <w:bookmarkStart w:id="6" w:name="_Hlk153472406"/>
            <w:r>
              <w:rPr>
                <w:rFonts w:hint="default" w:ascii="Times New Roman" w:hAnsi="Times New Roman" w:cs="Times New Roman"/>
                <w:bCs/>
                <w:sz w:val="20"/>
                <w:szCs w:val="20"/>
                <w:lang w:eastAsia="zh-CN"/>
              </w:rPr>
              <w:t>Evaluate testability, interoperability,</w:t>
            </w:r>
            <w:bookmarkEnd w:id="6"/>
            <w:r>
              <w:rPr>
                <w:rFonts w:hint="default" w:ascii="Times New Roman" w:hAnsi="Times New Roman" w:cs="Times New Roman"/>
                <w:bCs/>
                <w:sz w:val="20"/>
                <w:szCs w:val="20"/>
                <w:lang w:eastAsia="zh-CN"/>
              </w:rPr>
              <w:t xml:space="preserve"> and </w:t>
            </w:r>
            <w:r>
              <w:rPr>
                <w:rFonts w:hint="default" w:ascii="Times New Roman" w:hAnsi="Times New Roman" w:cs="Times New Roman"/>
                <w:bCs/>
                <w:sz w:val="20"/>
                <w:szCs w:val="20"/>
              </w:rPr>
              <w:t>impacts on RRM requirements and performance</w:t>
            </w:r>
            <w:r>
              <w:rPr>
                <w:rFonts w:hint="default" w:ascii="Times New Roman" w:hAnsi="Times New Roman" w:cs="Times New Roman"/>
                <w:bCs/>
                <w:sz w:val="20"/>
                <w:szCs w:val="20"/>
                <w:lang w:eastAsia="zh-CN"/>
              </w:rPr>
              <w:t xml:space="preserve"> [RAN4]</w:t>
            </w:r>
          </w:p>
          <w:p w14:paraId="5CB11B01">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Study the impacts on requirements based on RAN2 assumptions, and coordinate with RAN2 if needed </w:t>
            </w:r>
          </w:p>
          <w:p w14:paraId="46918C95">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the testability and interoperability based on RAN2 framework (e.g., number of cells to measure, beams etc.)</w:t>
            </w:r>
          </w:p>
          <w:p w14:paraId="0DDA5A89">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2F32914E">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5: Avoid the overlaps with RAN2 work for evaluation</w:t>
            </w:r>
          </w:p>
          <w:p w14:paraId="60C3DB0A">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421779D">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initial discussion on </w:t>
      </w:r>
      <w:r>
        <w:rPr>
          <w:rFonts w:hint="eastAsia" w:ascii="Times New Roman" w:hAnsi="Times New Roman"/>
          <w:sz w:val="22"/>
          <w:lang w:val="en-US" w:eastAsia="zh-CN"/>
        </w:rPr>
        <w:t>AI/ML for mobilit</w:t>
      </w:r>
      <w:r>
        <w:rPr>
          <w:rFonts w:hint="eastAsia" w:ascii="Times New Roman" w:hAnsi="Times New Roman"/>
          <w:sz w:val="22"/>
          <w:highlight w:val="none"/>
          <w:lang w:val="en-US" w:eastAsia="zh-CN"/>
        </w:rPr>
        <w:t>y</w:t>
      </w:r>
      <w:r>
        <w:rPr>
          <w:rFonts w:hint="eastAsia" w:ascii="Times New Roman" w:hAnsi="Times New Roman"/>
          <w:sz w:val="20"/>
          <w:szCs w:val="20"/>
          <w:lang w:val="en-US" w:eastAsia="zh-CN"/>
        </w:rPr>
        <w:t xml:space="preserve">, and a WF was agreed [2]. </w:t>
      </w:r>
      <w:r>
        <w:rPr>
          <w:rFonts w:ascii="Times New Roman" w:hAnsi="Times New Roman"/>
          <w:sz w:val="20"/>
          <w:szCs w:val="20"/>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the impacts on RAN4 requirements for AI/ML for mobility</w:t>
      </w:r>
      <w:r>
        <w:rPr>
          <w:rFonts w:hint="eastAsia" w:ascii="Times New Roman" w:hAnsi="Times New Roman"/>
          <w:sz w:val="20"/>
          <w:szCs w:val="20"/>
        </w:rPr>
        <w:t>.</w:t>
      </w:r>
    </w:p>
    <w:p w14:paraId="17263EFA">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2"/>
      <w:bookmarkStart w:id="8" w:name="OLE_LINK1"/>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826B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FBFAB9A">
            <w:pPr>
              <w:pStyle w:val="14"/>
              <w:rPr>
                <w:rFonts w:hint="default" w:ascii="Times New Roman" w:hAnsi="Times New Roman" w:cs="Times New Roman"/>
                <w:b/>
                <w:bCs/>
                <w:sz w:val="20"/>
                <w:szCs w:val="20"/>
                <w:u w:val="single"/>
                <w:lang w:val="en-US"/>
              </w:rPr>
            </w:pPr>
            <w:r>
              <w:rPr>
                <w:rFonts w:hint="default" w:ascii="Times New Roman" w:hAnsi="Times New Roman" w:cs="Times New Roman"/>
                <w:b/>
                <w:bCs/>
                <w:sz w:val="20"/>
                <w:szCs w:val="20"/>
                <w:u w:val="single"/>
                <w:lang w:val="en-US"/>
              </w:rPr>
              <w:t>Issue 1-1-1: Priorities of different use cases</w:t>
            </w:r>
          </w:p>
          <w:p w14:paraId="0F0CDEC7">
            <w:pPr>
              <w:snapToGrid w:val="0"/>
              <w:spacing w:after="120"/>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highlight w:val="green"/>
                <w:lang w:eastAsia="zh-CN"/>
              </w:rPr>
              <w:t>Agreement:</w:t>
            </w:r>
          </w:p>
          <w:p w14:paraId="1B3E92EA">
            <w:pPr>
              <w:pStyle w:val="12"/>
              <w:numPr>
                <w:ilvl w:val="1"/>
                <w:numId w:val="4"/>
              </w:numPr>
              <w:overflowPunct/>
              <w:autoSpaceDE/>
              <w:autoSpaceDN/>
              <w:adjustRightInd/>
              <w:snapToGrid w:val="0"/>
              <w:spacing w:after="120"/>
              <w:ind w:firstLineChars="0"/>
              <w:textAlignment w:val="auto"/>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RAN4 to start the discussion with RRM measurement prediction use-case from RAN4 #112bis meeting.</w:t>
            </w:r>
          </w:p>
          <w:p w14:paraId="7C061974">
            <w:pPr>
              <w:spacing w:after="120"/>
              <w:rPr>
                <w:rFonts w:hint="default" w:ascii="Times New Roman" w:hAnsi="Times New Roman" w:cs="Times New Roman"/>
                <w:color w:val="000000" w:themeColor="text1"/>
                <w:sz w:val="20"/>
                <w:szCs w:val="20"/>
                <w:lang w:eastAsia="zh-CN"/>
                <w14:textFill>
                  <w14:solidFill>
                    <w14:schemeClr w14:val="tx1"/>
                  </w14:solidFill>
                </w14:textFill>
              </w:rPr>
            </w:pPr>
          </w:p>
          <w:p w14:paraId="4A56472F">
            <w:pPr>
              <w:snapToGrid w:val="0"/>
              <w:spacing w:after="120"/>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highlight w:val="green"/>
                <w:lang w:eastAsia="zh-CN"/>
              </w:rPr>
              <w:t>Agreement:</w:t>
            </w:r>
          </w:p>
          <w:p w14:paraId="60550D2B">
            <w:pPr>
              <w:pStyle w:val="12"/>
              <w:numPr>
                <w:ilvl w:val="1"/>
                <w:numId w:val="4"/>
              </w:numPr>
              <w:overflowPunct/>
              <w:autoSpaceDE/>
              <w:autoSpaceDN/>
              <w:adjustRightInd/>
              <w:snapToGrid w:val="0"/>
              <w:spacing w:after="120"/>
              <w:ind w:firstLineChars="0"/>
              <w:textAlignment w:val="auto"/>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RAN4 to only start the discussion of Measurement event prediction use-case and</w:t>
            </w:r>
            <w:r>
              <w:rPr>
                <w:rFonts w:hint="default" w:ascii="Times New Roman" w:hAnsi="Times New Roman" w:cs="Times New Roman"/>
                <w:bCs/>
                <w:sz w:val="20"/>
                <w:szCs w:val="20"/>
                <w:highlight w:val="green"/>
              </w:rPr>
              <w:t xml:space="preserve"> RLF use-case</w:t>
            </w:r>
            <w:r>
              <w:rPr>
                <w:rFonts w:hint="default" w:ascii="Times New Roman" w:hAnsi="Times New Roman" w:cs="Times New Roman"/>
                <w:sz w:val="20"/>
                <w:szCs w:val="20"/>
                <w:highlight w:val="green"/>
              </w:rPr>
              <w:t xml:space="preserve"> if sufficient progress in RAN2.</w:t>
            </w:r>
          </w:p>
          <w:p w14:paraId="6755892D">
            <w:pPr>
              <w:pStyle w:val="12"/>
              <w:numPr>
                <w:ilvl w:val="1"/>
                <w:numId w:val="4"/>
              </w:numPr>
              <w:overflowPunct/>
              <w:autoSpaceDE/>
              <w:autoSpaceDN/>
              <w:adjustRightInd/>
              <w:snapToGrid w:val="0"/>
              <w:spacing w:after="120"/>
              <w:ind w:firstLineChars="0"/>
              <w:textAlignment w:val="auto"/>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The earliest time to start the discussion for Measurement event prediction use-case is RAN4#114 meeting (Feb 2025).</w:t>
            </w:r>
          </w:p>
          <w:p w14:paraId="4FC60389">
            <w:pPr>
              <w:pStyle w:val="12"/>
              <w:numPr>
                <w:ilvl w:val="1"/>
                <w:numId w:val="4"/>
              </w:numPr>
              <w:overflowPunct/>
              <w:autoSpaceDE/>
              <w:autoSpaceDN/>
              <w:adjustRightInd/>
              <w:snapToGrid w:val="0"/>
              <w:spacing w:after="120"/>
              <w:ind w:firstLineChars="0"/>
              <w:textAlignment w:val="auto"/>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 xml:space="preserve">The earliest time to start the discussion for </w:t>
            </w:r>
            <w:r>
              <w:rPr>
                <w:rFonts w:hint="default" w:ascii="Times New Roman" w:hAnsi="Times New Roman" w:cs="Times New Roman"/>
                <w:bCs/>
                <w:sz w:val="20"/>
                <w:szCs w:val="20"/>
                <w:highlight w:val="green"/>
              </w:rPr>
              <w:t xml:space="preserve">RLF use-case is </w:t>
            </w:r>
            <w:r>
              <w:rPr>
                <w:rFonts w:hint="default" w:ascii="Times New Roman" w:hAnsi="Times New Roman" w:cs="Times New Roman"/>
                <w:sz w:val="20"/>
                <w:szCs w:val="20"/>
                <w:highlight w:val="green"/>
              </w:rPr>
              <w:t>from RAN4#114bis meeting (Apr 2025).</w:t>
            </w:r>
          </w:p>
          <w:p w14:paraId="7CC1B15C">
            <w:pPr>
              <w:spacing w:after="120"/>
              <w:rPr>
                <w:rFonts w:hint="default" w:ascii="Times New Roman" w:hAnsi="Times New Roman" w:cs="Times New Roman"/>
                <w:sz w:val="20"/>
                <w:szCs w:val="20"/>
                <w:lang w:eastAsia="zh-CN"/>
              </w:rPr>
            </w:pPr>
          </w:p>
          <w:p w14:paraId="713BFBF2">
            <w:pPr>
              <w:pStyle w:val="14"/>
              <w:rPr>
                <w:rFonts w:hint="default" w:ascii="Times New Roman" w:hAnsi="Times New Roman" w:cs="Times New Roman"/>
                <w:b/>
                <w:bCs/>
                <w:sz w:val="20"/>
                <w:szCs w:val="20"/>
                <w:u w:val="single"/>
                <w:lang w:val="en-US"/>
              </w:rPr>
            </w:pPr>
            <w:r>
              <w:rPr>
                <w:rFonts w:hint="default" w:ascii="Times New Roman" w:hAnsi="Times New Roman" w:cs="Times New Roman"/>
                <w:b/>
                <w:bCs/>
                <w:sz w:val="20"/>
                <w:szCs w:val="20"/>
                <w:u w:val="single"/>
                <w:lang w:val="en-US"/>
              </w:rPr>
              <w:t xml:space="preserve">Issue 1-1-2: </w:t>
            </w:r>
            <w:bookmarkStart w:id="9" w:name="_Hlk179469976"/>
            <w:r>
              <w:rPr>
                <w:rFonts w:hint="default" w:ascii="Times New Roman" w:hAnsi="Times New Roman" w:cs="Times New Roman"/>
                <w:b/>
                <w:bCs/>
                <w:sz w:val="20"/>
                <w:szCs w:val="20"/>
                <w:u w:val="single"/>
                <w:lang w:val="en-US"/>
              </w:rPr>
              <w:t>Scenario/sub-use-case priorities</w:t>
            </w:r>
            <w:bookmarkEnd w:id="9"/>
          </w:p>
          <w:p w14:paraId="0D99BCE4">
            <w:pPr>
              <w:snapToGrid w:val="0"/>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 RAN4 to start the discussion for scenario 2, 3, 4. Further clarification can be discussed for the scenarios.</w:t>
            </w:r>
            <w:r>
              <w:rPr>
                <w:rFonts w:hint="default" w:ascii="Times New Roman" w:hAnsi="Times New Roman" w:cs="Times New Roman"/>
                <w:sz w:val="20"/>
                <w:szCs w:val="20"/>
                <w:lang w:eastAsia="zh-CN"/>
              </w:rPr>
              <w:t xml:space="preserve"> </w:t>
            </w:r>
          </w:p>
          <w:tbl>
            <w:tblPr>
              <w:tblStyle w:val="10"/>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1278"/>
              <w:gridCol w:w="3769"/>
              <w:gridCol w:w="1262"/>
              <w:gridCol w:w="1339"/>
            </w:tblGrid>
            <w:tr w14:paraId="6375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49E4C0CB">
                  <w:pPr>
                    <w:overflowPunct w:val="0"/>
                    <w:autoSpaceDE w:val="0"/>
                    <w:autoSpaceDN w:val="0"/>
                    <w:adjustRightInd w:val="0"/>
                    <w:snapToGrid w:val="0"/>
                    <w:spacing w:after="12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p>
              </w:tc>
              <w:tc>
                <w:tcPr>
                  <w:tcW w:w="1278" w:type="dxa"/>
                  <w:tcBorders>
                    <w:top w:val="single" w:color="auto" w:sz="4" w:space="0"/>
                    <w:left w:val="single" w:color="auto" w:sz="4" w:space="0"/>
                    <w:bottom w:val="single" w:color="auto" w:sz="4" w:space="0"/>
                    <w:right w:val="single" w:color="auto" w:sz="4" w:space="0"/>
                  </w:tcBorders>
                </w:tcPr>
                <w:p w14:paraId="7DE49951">
                  <w:pPr>
                    <w:overflowPunct w:val="0"/>
                    <w:autoSpaceDE w:val="0"/>
                    <w:autoSpaceDN w:val="0"/>
                    <w:adjustRightInd w:val="0"/>
                    <w:snapToGrid w:val="0"/>
                    <w:spacing w:after="12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3FB8382A">
                  <w:pPr>
                    <w:overflowPunct w:val="0"/>
                    <w:autoSpaceDE w:val="0"/>
                    <w:autoSpaceDN w:val="0"/>
                    <w:adjustRightInd w:val="0"/>
                    <w:snapToGrid w:val="0"/>
                    <w:spacing w:after="12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634CAF56">
                  <w:pPr>
                    <w:overflowPunct w:val="0"/>
                    <w:autoSpaceDE w:val="0"/>
                    <w:autoSpaceDN w:val="0"/>
                    <w:adjustRightInd w:val="0"/>
                    <w:snapToGrid w:val="0"/>
                    <w:spacing w:after="12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540C420E">
                  <w:pPr>
                    <w:overflowPunct w:val="0"/>
                    <w:autoSpaceDE w:val="0"/>
                    <w:autoSpaceDN w:val="0"/>
                    <w:adjustRightInd w:val="0"/>
                    <w:snapToGrid w:val="0"/>
                    <w:spacing w:after="120"/>
                    <w:textAlignment w:val="baseline"/>
                    <w:rPr>
                      <w:rFonts w:hint="default" w:ascii="Times New Roman" w:hAnsi="Times New Roman" w:eastAsia="Yu Mincho" w:cs="Times New Roman"/>
                      <w:sz w:val="20"/>
                      <w:szCs w:val="20"/>
                      <w:vertAlign w:val="superscript"/>
                    </w:rPr>
                  </w:pPr>
                  <w:r>
                    <w:rPr>
                      <w:rFonts w:hint="default" w:ascii="Times New Roman" w:hAnsi="Times New Roman" w:eastAsia="Yu Mincho" w:cs="Times New Roman"/>
                      <w:sz w:val="20"/>
                      <w:szCs w:val="20"/>
                    </w:rPr>
                    <w:t>Intra-cell</w:t>
                  </w:r>
                </w:p>
              </w:tc>
            </w:tr>
            <w:tr w14:paraId="5FF1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593AAEE5">
                  <w:pPr>
                    <w:overflowPunct w:val="0"/>
                    <w:autoSpaceDE w:val="0"/>
                    <w:autoSpaceDN w:val="0"/>
                    <w:adjustRightInd w:val="0"/>
                    <w:snapToGrid w:val="0"/>
                    <w:spacing w:after="12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3</w:t>
                  </w:r>
                </w:p>
              </w:tc>
              <w:tc>
                <w:tcPr>
                  <w:tcW w:w="1278" w:type="dxa"/>
                  <w:tcBorders>
                    <w:top w:val="single" w:color="auto" w:sz="4" w:space="0"/>
                    <w:left w:val="single" w:color="auto" w:sz="4" w:space="0"/>
                    <w:bottom w:val="single" w:color="auto" w:sz="4" w:space="0"/>
                    <w:right w:val="single" w:color="auto" w:sz="4" w:space="0"/>
                  </w:tcBorders>
                </w:tcPr>
                <w:p w14:paraId="16E4F295">
                  <w:pPr>
                    <w:overflowPunct w:val="0"/>
                    <w:autoSpaceDE w:val="0"/>
                    <w:autoSpaceDN w:val="0"/>
                    <w:adjustRightInd w:val="0"/>
                    <w:snapToGrid w:val="0"/>
                    <w:spacing w:after="12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33AD4233">
                  <w:pPr>
                    <w:overflowPunct w:val="0"/>
                    <w:autoSpaceDE w:val="0"/>
                    <w:autoSpaceDN w:val="0"/>
                    <w:adjustRightInd w:val="0"/>
                    <w:snapToGrid w:val="0"/>
                    <w:spacing w:after="12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inter-frequency (frequency domain)</w:t>
                  </w:r>
                </w:p>
              </w:tc>
              <w:tc>
                <w:tcPr>
                  <w:tcW w:w="1262" w:type="dxa"/>
                  <w:tcBorders>
                    <w:top w:val="single" w:color="auto" w:sz="4" w:space="0"/>
                    <w:left w:val="single" w:color="auto" w:sz="4" w:space="0"/>
                    <w:bottom w:val="single" w:color="auto" w:sz="4" w:space="0"/>
                    <w:right w:val="single" w:color="auto" w:sz="4" w:space="0"/>
                  </w:tcBorders>
                </w:tcPr>
                <w:p w14:paraId="689D2FAA">
                  <w:pPr>
                    <w:overflowPunct w:val="0"/>
                    <w:autoSpaceDE w:val="0"/>
                    <w:autoSpaceDN w:val="0"/>
                    <w:adjustRightInd w:val="0"/>
                    <w:snapToGrid w:val="0"/>
                    <w:spacing w:after="12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7E46EBA7">
                  <w:pPr>
                    <w:overflowPunct w:val="0"/>
                    <w:autoSpaceDE w:val="0"/>
                    <w:autoSpaceDN w:val="0"/>
                    <w:adjustRightInd w:val="0"/>
                    <w:snapToGrid w:val="0"/>
                    <w:spacing w:after="12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Inter-cell </w:t>
                  </w:r>
                </w:p>
              </w:tc>
            </w:tr>
            <w:tr w14:paraId="639A1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37DAE835">
                  <w:pPr>
                    <w:overflowPunct w:val="0"/>
                    <w:autoSpaceDE w:val="0"/>
                    <w:autoSpaceDN w:val="0"/>
                    <w:adjustRightInd w:val="0"/>
                    <w:snapToGrid w:val="0"/>
                    <w:spacing w:after="12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4</w:t>
                  </w:r>
                </w:p>
              </w:tc>
              <w:tc>
                <w:tcPr>
                  <w:tcW w:w="1278" w:type="dxa"/>
                  <w:tcBorders>
                    <w:top w:val="single" w:color="auto" w:sz="4" w:space="0"/>
                    <w:left w:val="single" w:color="auto" w:sz="4" w:space="0"/>
                    <w:bottom w:val="single" w:color="auto" w:sz="4" w:space="0"/>
                    <w:right w:val="single" w:color="auto" w:sz="4" w:space="0"/>
                  </w:tcBorders>
                </w:tcPr>
                <w:p w14:paraId="3DA42134">
                  <w:pPr>
                    <w:overflowPunct w:val="0"/>
                    <w:autoSpaceDE w:val="0"/>
                    <w:autoSpaceDN w:val="0"/>
                    <w:adjustRightInd w:val="0"/>
                    <w:snapToGrid w:val="0"/>
                    <w:spacing w:after="12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2C69F1C6">
                  <w:pPr>
                    <w:overflowPunct w:val="0"/>
                    <w:autoSpaceDE w:val="0"/>
                    <w:autoSpaceDN w:val="0"/>
                    <w:adjustRightInd w:val="0"/>
                    <w:snapToGrid w:val="0"/>
                    <w:spacing w:after="12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611FE070">
                  <w:pPr>
                    <w:overflowPunct w:val="0"/>
                    <w:autoSpaceDE w:val="0"/>
                    <w:autoSpaceDN w:val="0"/>
                    <w:adjustRightInd w:val="0"/>
                    <w:snapToGrid w:val="0"/>
                    <w:spacing w:after="12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r>
                    <w:rPr>
                      <w:rFonts w:hint="default" w:ascii="Times New Roman" w:hAnsi="Times New Roman" w:eastAsia="Yu Mincho" w:cs="Times New Roman"/>
                      <w:sz w:val="20"/>
                      <w:szCs w:val="20"/>
                      <w:vertAlign w:val="superscript"/>
                    </w:rPr>
                    <w:t>nd</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09AB9796">
                  <w:pPr>
                    <w:overflowPunct w:val="0"/>
                    <w:autoSpaceDE w:val="0"/>
                    <w:autoSpaceDN w:val="0"/>
                    <w:adjustRightInd w:val="0"/>
                    <w:snapToGrid w:val="0"/>
                    <w:spacing w:after="120"/>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Intra-cell</w:t>
                  </w:r>
                </w:p>
              </w:tc>
            </w:tr>
          </w:tbl>
          <w:p w14:paraId="31081D84">
            <w:pPr>
              <w:snapToGrid w:val="0"/>
              <w:spacing w:after="120"/>
              <w:rPr>
                <w:rFonts w:hint="default" w:ascii="Times New Roman" w:hAnsi="Times New Roman" w:cs="Times New Roman"/>
                <w:sz w:val="20"/>
                <w:szCs w:val="20"/>
                <w:lang w:eastAsia="zh-CN"/>
              </w:rPr>
            </w:pPr>
          </w:p>
          <w:p w14:paraId="46D1EE05">
            <w:pPr>
              <w:snapToGrid w:val="0"/>
              <w:spacing w:after="120"/>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highlight w:val="green"/>
                <w:lang w:eastAsia="zh-CN"/>
              </w:rPr>
              <w:t>Agreement:</w:t>
            </w:r>
          </w:p>
          <w:p w14:paraId="48710E29">
            <w:pPr>
              <w:pStyle w:val="12"/>
              <w:numPr>
                <w:ilvl w:val="1"/>
                <w:numId w:val="4"/>
              </w:numPr>
              <w:overflowPunct/>
              <w:autoSpaceDE/>
              <w:autoSpaceDN/>
              <w:adjustRightInd/>
              <w:snapToGrid w:val="0"/>
              <w:spacing w:after="120"/>
              <w:ind w:firstLineChars="0"/>
              <w:textAlignment w:val="auto"/>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Scenario 2, 3 and 4, the 3 cases can be discussed:</w:t>
            </w:r>
          </w:p>
          <w:p w14:paraId="11D30593">
            <w:pPr>
              <w:pStyle w:val="12"/>
              <w:numPr>
                <w:ilvl w:val="2"/>
                <w:numId w:val="4"/>
              </w:numPr>
              <w:snapToGrid w:val="0"/>
              <w:spacing w:after="120"/>
              <w:ind w:firstLineChars="0"/>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Sub-use case 1: L1 beam-level measurement result(s) is predicted based on actual L1 beam-level measurement result(s) and then L3 cell-level measurement result is generated</w:t>
            </w:r>
          </w:p>
          <w:p w14:paraId="6872AFBE">
            <w:pPr>
              <w:pStyle w:val="12"/>
              <w:numPr>
                <w:ilvl w:val="2"/>
                <w:numId w:val="4"/>
              </w:numPr>
              <w:snapToGrid w:val="0"/>
              <w:spacing w:after="120"/>
              <w:ind w:firstLineChars="0"/>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Sub-use case 2: L3 Cell-level measurement result(s) is predicted based on actual L3 cell-level measurement result(s)</w:t>
            </w:r>
          </w:p>
          <w:p w14:paraId="7C765D52">
            <w:pPr>
              <w:pStyle w:val="12"/>
              <w:numPr>
                <w:ilvl w:val="2"/>
                <w:numId w:val="4"/>
              </w:numPr>
              <w:snapToGrid w:val="0"/>
              <w:spacing w:after="120"/>
              <w:ind w:firstLineChars="0"/>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Sub-use case 3: L3 Cell-level measurement result(s) is predicted based on actual L1 beam-level measurement result(s)</w:t>
            </w:r>
          </w:p>
          <w:p w14:paraId="70B5A93A">
            <w:pPr>
              <w:pStyle w:val="12"/>
              <w:numPr>
                <w:ilvl w:val="2"/>
                <w:numId w:val="4"/>
              </w:numPr>
              <w:snapToGrid w:val="0"/>
              <w:spacing w:after="12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highlight w:val="green"/>
              </w:rPr>
              <w:t>Follow the latest definition of the sub use-cases in RAN2. Further clarification on the sub use-cases from RAN4 perspective can be discussed.</w:t>
            </w:r>
          </w:p>
        </w:tc>
      </w:tr>
    </w:tbl>
    <w:p w14:paraId="6972DD10">
      <w:pPr>
        <w:spacing w:after="180" w:line="240" w:lineRule="exact"/>
        <w:rPr>
          <w:rFonts w:hint="eastAsia" w:ascii="Times New Roman" w:hAnsi="Times New Roman" w:eastAsia="等线"/>
          <w:bCs/>
          <w:iCs/>
          <w:sz w:val="20"/>
          <w:szCs w:val="20"/>
          <w:lang w:val="en-US" w:eastAsia="zh-CN"/>
        </w:rPr>
      </w:pPr>
    </w:p>
    <w:p w14:paraId="5E1A8C85">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It was agreed that RAN4 to start the discussion for scenario 2, 3, 4. Further clarification can be discussed for the scenarios. According to the discussion in last meeting, one issue identified is that it is not clear whether only serving cell or both serving cell and neighbouring cell are considered for the intra-frequency evaluation scenario.</w:t>
      </w:r>
    </w:p>
    <w:p w14:paraId="0D6F04BD">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According to the discussion and simulation in RAN2, scenario number 2 (intra-frequency intra-cell temporal domain case B prediction) (scenario number 2,5) is evaluated by predicting a sub set of measurement instances in temporal domain of the same cell for FR1. Scenario number 3(</w:t>
      </w:r>
      <w:r>
        <w:rPr>
          <w:rFonts w:hint="default" w:ascii="Times New Roman" w:hAnsi="Times New Roman" w:eastAsia="等线" w:cs="Times New Roman"/>
          <w:bCs/>
          <w:iCs/>
          <w:sz w:val="20"/>
          <w:szCs w:val="20"/>
          <w:lang w:val="en-US" w:eastAsia="zh-CN"/>
        </w:rPr>
        <w:t>FR1 to FR1 inter-frequency inter-cell prediction</w:t>
      </w:r>
      <w:r>
        <w:rPr>
          <w:rFonts w:hint="eastAsia" w:ascii="Times New Roman" w:hAnsi="Times New Roman" w:eastAsia="等线" w:cs="Times New Roman"/>
          <w:bCs/>
          <w:iCs/>
          <w:sz w:val="20"/>
          <w:szCs w:val="20"/>
          <w:lang w:val="en-US" w:eastAsia="zh-CN"/>
        </w:rPr>
        <w:t>)</w:t>
      </w:r>
      <w:r>
        <w:rPr>
          <w:rFonts w:hint="default" w:ascii="Times New Roman" w:hAnsi="Times New Roman" w:eastAsia="等线" w:cs="Times New Roman"/>
          <w:bCs/>
          <w:iCs/>
          <w:sz w:val="20"/>
          <w:szCs w:val="20"/>
          <w:lang w:val="en-US" w:eastAsia="zh-CN"/>
        </w:rPr>
        <w:t xml:space="preserve"> focus on the case where cell to be measured and cell to be predicted are located in the same sector of either serving site or same neighbouring site</w:t>
      </w:r>
      <w:r>
        <w:rPr>
          <w:rFonts w:hint="eastAsia" w:ascii="Times New Roman" w:hAnsi="Times New Roman" w:eastAsia="等线" w:cs="Times New Roman"/>
          <w:bCs/>
          <w:iCs/>
          <w:sz w:val="20"/>
          <w:szCs w:val="20"/>
          <w:lang w:val="en-US" w:eastAsia="zh-CN"/>
        </w:rPr>
        <w:t>. Scenario number 4 (intra-frequency intra-cell temporal domain case A prediction) is evaluated by predicting measurement result(s) in prediction window based on actual measurement result(s) in observation window of the same cell for FR1 without reducing any measurement in observation window. It can be seen that for intra-frequency, the main focus is intra-cell, which in our understanding target for serving cell.</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2558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54F97D0">
            <w:pPr>
              <w:pStyle w:val="14"/>
              <w:rPr>
                <w:rFonts w:hint="default" w:ascii="Times New Roman" w:hAnsi="Times New Roman" w:cs="Times New Roman"/>
                <w:b/>
                <w:bCs/>
                <w:sz w:val="20"/>
                <w:szCs w:val="20"/>
                <w:u w:val="single"/>
                <w:lang w:val="en-US"/>
              </w:rPr>
            </w:pPr>
            <w:r>
              <w:rPr>
                <w:rFonts w:hint="default" w:ascii="Times New Roman" w:hAnsi="Times New Roman" w:cs="Times New Roman"/>
                <w:b/>
                <w:bCs/>
                <w:sz w:val="20"/>
                <w:szCs w:val="20"/>
                <w:u w:val="single"/>
                <w:lang w:val="en-US"/>
              </w:rPr>
              <w:t>Issue 2-1-1: Performance Metrics/KPIs for Measurement Prediction use case</w:t>
            </w:r>
          </w:p>
          <w:p w14:paraId="6046F6B6">
            <w:pPr>
              <w:snapToGrid w:val="0"/>
              <w:spacing w:after="120"/>
              <w:rPr>
                <w:rFonts w:hint="default" w:ascii="Times New Roman" w:hAnsi="Times New Roman" w:cs="Times New Roman"/>
                <w:sz w:val="20"/>
                <w:szCs w:val="20"/>
                <w:highlight w:val="green"/>
                <w:lang w:eastAsia="zh-CN"/>
              </w:rPr>
            </w:pPr>
            <w:r>
              <w:rPr>
                <w:rFonts w:hint="default" w:ascii="Times New Roman" w:hAnsi="Times New Roman" w:cs="Times New Roman"/>
                <w:sz w:val="20"/>
                <w:szCs w:val="20"/>
                <w:highlight w:val="green"/>
                <w:lang w:eastAsia="zh-CN"/>
              </w:rPr>
              <w:t>Agreement:</w:t>
            </w:r>
          </w:p>
          <w:p w14:paraId="4EAF8595">
            <w:pPr>
              <w:pStyle w:val="12"/>
              <w:numPr>
                <w:ilvl w:val="0"/>
                <w:numId w:val="4"/>
              </w:numPr>
              <w:overflowPunct/>
              <w:autoSpaceDE/>
              <w:autoSpaceDN/>
              <w:adjustRightInd/>
              <w:snapToGrid w:val="0"/>
              <w:spacing w:after="120"/>
              <w:ind w:firstLineChars="0"/>
              <w:textAlignment w:val="auto"/>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 xml:space="preserve">RAN4 to first study the </w:t>
            </w:r>
            <w:r>
              <w:rPr>
                <w:rFonts w:hint="default" w:ascii="Times New Roman" w:hAnsi="Times New Roman" w:cs="Times New Roman"/>
                <w:bCs/>
                <w:sz w:val="20"/>
                <w:szCs w:val="20"/>
                <w:highlight w:val="green"/>
              </w:rPr>
              <w:t>impacts on requirements</w:t>
            </w:r>
            <w:r>
              <w:rPr>
                <w:rFonts w:hint="default" w:ascii="Times New Roman" w:hAnsi="Times New Roman" w:cs="Times New Roman"/>
                <w:sz w:val="20"/>
                <w:szCs w:val="20"/>
                <w:highlight w:val="green"/>
              </w:rPr>
              <w:t xml:space="preserve"> for the following case:</w:t>
            </w:r>
          </w:p>
          <w:p w14:paraId="095E7309">
            <w:pPr>
              <w:pStyle w:val="12"/>
              <w:numPr>
                <w:ilvl w:val="1"/>
                <w:numId w:val="4"/>
              </w:numPr>
              <w:overflowPunct/>
              <w:autoSpaceDE/>
              <w:autoSpaceDN/>
              <w:adjustRightInd/>
              <w:snapToGrid w:val="0"/>
              <w:spacing w:after="120"/>
              <w:ind w:firstLineChars="0"/>
              <w:textAlignment w:val="auto"/>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L3 cell level RSRP (Point C) prediction</w:t>
            </w:r>
          </w:p>
          <w:p w14:paraId="65A1B831">
            <w:pPr>
              <w:pStyle w:val="12"/>
              <w:numPr>
                <w:ilvl w:val="1"/>
                <w:numId w:val="4"/>
              </w:numPr>
              <w:overflowPunct/>
              <w:autoSpaceDE/>
              <w:autoSpaceDN/>
              <w:adjustRightInd/>
              <w:snapToGrid w:val="0"/>
              <w:spacing w:after="120"/>
              <w:ind w:firstLineChars="0"/>
              <w:textAlignment w:val="auto"/>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FFS L1 beam-level (Point A</w:t>
            </w:r>
            <w:r>
              <w:rPr>
                <w:rFonts w:hint="default" w:ascii="Times New Roman" w:hAnsi="Times New Roman" w:cs="Times New Roman"/>
                <w:sz w:val="20"/>
                <w:szCs w:val="20"/>
                <w:highlight w:val="green"/>
                <w:vertAlign w:val="superscript"/>
              </w:rPr>
              <w:t>1</w:t>
            </w:r>
            <w:r>
              <w:rPr>
                <w:rFonts w:hint="default" w:ascii="Times New Roman" w:hAnsi="Times New Roman" w:cs="Times New Roman"/>
                <w:sz w:val="20"/>
                <w:szCs w:val="20"/>
                <w:highlight w:val="green"/>
              </w:rPr>
              <w:t>)</w:t>
            </w:r>
          </w:p>
          <w:p w14:paraId="6D6BC995">
            <w:pPr>
              <w:pStyle w:val="12"/>
              <w:numPr>
                <w:ilvl w:val="1"/>
                <w:numId w:val="4"/>
              </w:numPr>
              <w:overflowPunct/>
              <w:autoSpaceDE/>
              <w:autoSpaceDN/>
              <w:adjustRightInd/>
              <w:snapToGrid w:val="0"/>
              <w:spacing w:after="120"/>
              <w:ind w:firstLineChars="0"/>
              <w:textAlignment w:val="auto"/>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FFS L3 beam-level (Point E)</w:t>
            </w:r>
          </w:p>
          <w:p w14:paraId="30E80EDE">
            <w:pPr>
              <w:pStyle w:val="12"/>
              <w:numPr>
                <w:ilvl w:val="1"/>
                <w:numId w:val="4"/>
              </w:numPr>
              <w:overflowPunct/>
              <w:autoSpaceDE/>
              <w:autoSpaceDN/>
              <w:adjustRightInd/>
              <w:snapToGrid w:val="0"/>
              <w:spacing w:after="120"/>
              <w:ind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highlight w:val="green"/>
              </w:rPr>
              <w:t>Other cases can be considered based on RAN4 further discussion and RAN2 further progress.</w:t>
            </w:r>
          </w:p>
        </w:tc>
      </w:tr>
    </w:tbl>
    <w:p w14:paraId="68FDD74A">
      <w:pPr>
        <w:spacing w:after="180" w:line="240" w:lineRule="exact"/>
        <w:rPr>
          <w:rFonts w:hint="eastAsia" w:ascii="Times New Roman" w:hAnsi="Times New Roman" w:eastAsia="等线"/>
          <w:bCs/>
          <w:iCs/>
          <w:sz w:val="20"/>
          <w:szCs w:val="20"/>
          <w:lang w:val="en-US" w:eastAsia="zh-CN"/>
        </w:rPr>
      </w:pPr>
    </w:p>
    <w:p w14:paraId="4CB741F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It was agreed that RAN4 firstly study the impacts on requirements for L3 cell level RSRP (Point C) prediction. FFS L1 beam-level (Point A1) and L3 beam-level (Point E). </w:t>
      </w:r>
    </w:p>
    <w:p w14:paraId="0634F939">
      <w:pPr>
        <w:bidi w:val="0"/>
        <w:rPr>
          <w:rFonts w:hint="eastAsia" w:ascii="Times New Roman" w:hAnsi="Times New Roman" w:eastAsia="等线"/>
          <w:bCs/>
          <w:iCs/>
          <w:sz w:val="20"/>
          <w:szCs w:val="20"/>
          <w:lang w:val="en-US" w:eastAsia="zh-CN"/>
        </w:rPr>
      </w:pPr>
      <w:r>
        <w:object>
          <v:shape id="_x0000_i1025" o:spt="75" type="#_x0000_t75" style="height:222.45pt;width:451.9pt;" o:ole="t" filled="f" o:preferrelative="t" stroked="f" coordsize="21600,21600">
            <v:path/>
            <v:fill on="f" focussize="0,0"/>
            <v:stroke on="f" joinstyle="miter"/>
            <v:imagedata r:id="rId4" o:title=""/>
            <o:lock v:ext="edit" aspectratio="t"/>
            <w10:wrap type="none"/>
            <w10:anchorlock/>
          </v:shape>
          <o:OLEObject Type="Embed" ProgID="Visio.Drawing.11" ShapeID="_x0000_i1025" DrawAspect="Content" ObjectID="_1468075725">
            <o:LockedField>false</o:LockedField>
          </o:OLEObject>
        </w:object>
      </w:r>
    </w:p>
    <w:p w14:paraId="68D6B423">
      <w:pPr>
        <w:spacing w:after="180" w:line="240" w:lineRule="exact"/>
        <w:rPr>
          <w:rFonts w:hint="default" w:ascii="Times New Roman" w:hAnsi="Times New Roman" w:eastAsia="宋体"/>
          <w:bCs/>
          <w:iCs/>
          <w:sz w:val="20"/>
          <w:szCs w:val="20"/>
          <w:lang w:val="en-US" w:eastAsia="zh-CN"/>
        </w:rPr>
      </w:pPr>
      <w:r>
        <w:rPr>
          <w:rFonts w:hint="eastAsia" w:ascii="Times New Roman" w:hAnsi="Times New Roman" w:eastAsia="等线"/>
          <w:bCs/>
          <w:iCs/>
          <w:sz w:val="20"/>
          <w:szCs w:val="20"/>
          <w:lang w:val="en-US" w:eastAsia="zh-CN"/>
        </w:rPr>
        <w:t xml:space="preserve">For the firstly studied scenrios 2, 3, 4, sub-use case 1, 2, 3 are considered. For sub-use case 1: L1 beam-level measurement result(s) is predicted based on actual L1 beam-level measurement result(s) and then L3 cell-level measurement result is generated, it can be seen that L1 beam results are predicted which can be used to generate L3 filtered results. From this point of view, L1 beam-level (Point A1) can also be considered. According to RAN2 agreements, </w:t>
      </w:r>
      <w:r>
        <w:rPr>
          <w:rFonts w:hint="default" w:ascii="Times New Roman" w:hAnsi="Times New Roman" w:cs="Times New Roman"/>
          <w:sz w:val="20"/>
          <w:szCs w:val="20"/>
          <w:lang w:eastAsia="en-US"/>
        </w:rPr>
        <w:t>L3 filtered beam level prediction cases are lower priority</w:t>
      </w:r>
      <w:r>
        <w:rPr>
          <w:rFonts w:hint="eastAsia" w:ascii="Times New Roman" w:hAnsi="Times New Roman" w:cs="Times New Roman"/>
          <w:sz w:val="20"/>
          <w:szCs w:val="20"/>
          <w:lang w:val="en-US" w:eastAsia="zh-CN"/>
        </w:rPr>
        <w:t>. RAN4 can follow RAN2 to deprioritize this case.</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0F06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0556923">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Agreements in RAN2#127 meeting</w:t>
            </w:r>
          </w:p>
          <w:p w14:paraId="25D301FE">
            <w:pPr>
              <w:pStyle w:val="15"/>
              <w:numPr>
                <w:ilvl w:val="0"/>
                <w:numId w:val="5"/>
              </w:numPr>
              <w:overflowPunct/>
              <w:autoSpaceDE/>
              <w:autoSpaceDN/>
              <w:adjustRightInd/>
              <w:ind w:left="359" w:leftChars="0" w:hanging="360" w:firstLineChars="0"/>
              <w:textAlignment w:val="auto"/>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 xml:space="preserve">Companies can consider to do L3 filtered beam level results for any of this cases. </w:t>
            </w:r>
            <w:r>
              <w:rPr>
                <w:rFonts w:hint="default" w:ascii="Times New Roman" w:hAnsi="Times New Roman" w:cs="Times New Roman"/>
                <w:sz w:val="20"/>
                <w:szCs w:val="20"/>
                <w:highlight w:val="cyan"/>
                <w:lang w:eastAsia="en-US"/>
              </w:rPr>
              <w:t>L3 filtered beam level prediction cases are lower priority</w:t>
            </w:r>
            <w:r>
              <w:rPr>
                <w:rFonts w:hint="default" w:ascii="Times New Roman" w:hAnsi="Times New Roman" w:cs="Times New Roman"/>
                <w:sz w:val="20"/>
                <w:szCs w:val="20"/>
                <w:lang w:eastAsia="en-US"/>
              </w:rPr>
              <w:t xml:space="preserve">.  </w:t>
            </w:r>
          </w:p>
          <w:p w14:paraId="4CB0C715">
            <w:pPr>
              <w:pStyle w:val="15"/>
              <w:numPr>
                <w:ilvl w:val="1"/>
                <w:numId w:val="6"/>
              </w:numPr>
              <w:overflowPunct/>
              <w:autoSpaceDE/>
              <w:autoSpaceDN/>
              <w:adjustRightInd/>
              <w:ind w:left="1079"/>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Case 1: To predict L1 filtered beam level results, then generate L3 filtered results based on the predicted L1 beam results.</w:t>
            </w:r>
          </w:p>
          <w:p w14:paraId="08672775">
            <w:pPr>
              <w:pStyle w:val="15"/>
              <w:numPr>
                <w:ilvl w:val="1"/>
                <w:numId w:val="6"/>
              </w:numPr>
              <w:overflowPunct/>
              <w:autoSpaceDE/>
              <w:autoSpaceDN/>
              <w:adjustRightInd/>
              <w:ind w:left="1079"/>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Case 2: To directly predict L3 filtered beam level results based on the L3 beam level measurement results.</w:t>
            </w:r>
          </w:p>
          <w:p w14:paraId="2EC45267">
            <w:pPr>
              <w:pStyle w:val="15"/>
              <w:numPr>
                <w:ilvl w:val="1"/>
                <w:numId w:val="6"/>
              </w:numPr>
              <w:overflowPunct/>
              <w:autoSpaceDE/>
              <w:autoSpaceDN/>
              <w:adjustRightInd/>
              <w:ind w:left="1079"/>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Case 3: To directly predict L3 filtered beam level results based on the L1 beam level measurement results.</w:t>
            </w:r>
          </w:p>
          <w:p w14:paraId="7F4DA318">
            <w:pPr>
              <w:numPr>
                <w:ilvl w:val="0"/>
                <w:numId w:val="7"/>
              </w:numPr>
              <w:spacing w:after="180" w:line="240" w:lineRule="exact"/>
              <w:ind w:left="42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kern w:val="2"/>
                <w:sz w:val="20"/>
                <w:szCs w:val="20"/>
                <w:lang w:val="en-US" w:eastAsia="en-US" w:bidi="ar-SA"/>
              </w:rPr>
              <w:t xml:space="preserve">If companies do L3 filtered beam level prediction simulations, they should focus on FR2-to-FR2 intra-frequency temporal domain prediction case A </w:t>
            </w:r>
            <w:r>
              <w:rPr>
                <w:rFonts w:hint="default" w:ascii="Times New Roman" w:hAnsi="Times New Roman" w:eastAsia="等线" w:cs="Times New Roman"/>
                <w:bCs/>
                <w:iCs/>
                <w:sz w:val="20"/>
                <w:szCs w:val="20"/>
                <w:vertAlign w:val="baseline"/>
                <w:lang w:val="en-US" w:eastAsia="zh-CN"/>
              </w:rPr>
              <w:t xml:space="preserve"> </w:t>
            </w:r>
          </w:p>
        </w:tc>
      </w:tr>
    </w:tbl>
    <w:p w14:paraId="5A4C8A27">
      <w:pPr>
        <w:spacing w:after="180" w:line="240" w:lineRule="exact"/>
        <w:rPr>
          <w:rFonts w:hint="eastAsia" w:ascii="Times New Roman" w:hAnsi="Times New Roman" w:eastAsia="等线"/>
          <w:bCs/>
          <w:iCs/>
          <w:sz w:val="20"/>
          <w:szCs w:val="20"/>
          <w:lang w:val="en-US" w:eastAsia="zh-CN"/>
        </w:rPr>
      </w:pPr>
    </w:p>
    <w:p w14:paraId="5F1BFEFB">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the study on the impacts on requirements, except L3 cell level RSRP (Point C) prediction, it is proposed to consider L1 beam-level (Point A</w:t>
      </w:r>
      <w:r>
        <w:rPr>
          <w:rFonts w:hint="eastAsia" w:ascii="Times New Roman" w:hAnsi="Times New Roman" w:eastAsia="等线"/>
          <w:b/>
          <w:bCs w:val="0"/>
          <w:i/>
          <w:iCs w:val="0"/>
          <w:sz w:val="20"/>
          <w:szCs w:val="20"/>
          <w:vertAlign w:val="superscript"/>
          <w:lang w:val="en-US" w:eastAsia="zh-CN"/>
        </w:rPr>
        <w:t>1</w:t>
      </w:r>
      <w:r>
        <w:rPr>
          <w:rFonts w:hint="eastAsia" w:ascii="Times New Roman" w:hAnsi="Times New Roman" w:eastAsia="等线"/>
          <w:b/>
          <w:bCs w:val="0"/>
          <w:i/>
          <w:iCs w:val="0"/>
          <w:sz w:val="20"/>
          <w:szCs w:val="20"/>
          <w:lang w:val="en-US" w:eastAsia="zh-CN"/>
        </w:rPr>
        <w:t>). L3 beam-level (Point E) can be deprioritizedbasedon RAN2 agreements.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9E5C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9AF910B">
            <w:pPr>
              <w:pStyle w:val="5"/>
              <w:numPr>
                <w:ilvl w:val="3"/>
                <w:numId w:val="0"/>
              </w:numPr>
              <w:ind w:leftChars="0"/>
              <w:rPr>
                <w:rFonts w:hint="default" w:ascii="Times New Roman" w:hAnsi="Times New Roman" w:cs="Times New Roman"/>
                <w:sz w:val="20"/>
                <w:szCs w:val="20"/>
              </w:rPr>
            </w:pPr>
            <w:r>
              <w:rPr>
                <w:rFonts w:hint="default" w:ascii="Times New Roman" w:hAnsi="Times New Roman" w:cs="Times New Roman"/>
                <w:sz w:val="20"/>
                <w:szCs w:val="20"/>
              </w:rPr>
              <w:t>Issue 2-1-2: Impacts of measurement errors on the prediction accuracy performance</w:t>
            </w:r>
          </w:p>
          <w:p w14:paraId="02FACDE9">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3DA7AA91">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1 (Vivo): </w:t>
            </w:r>
          </w:p>
          <w:p w14:paraId="22DF0B39">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cs="Times New Roman"/>
                <w:b/>
                <w:i/>
                <w:sz w:val="20"/>
                <w:szCs w:val="20"/>
              </w:rPr>
              <w:t>RAN4 to study the prediction accuracy performance with consideration of the impact of measurement error.</w:t>
            </w:r>
          </w:p>
          <w:p w14:paraId="61DE72EE">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2 (Nokia):</w:t>
            </w:r>
          </w:p>
          <w:p w14:paraId="402DD63D">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RAN4 to study the impact of measurement error used as the input data on the accuracy of the predicted measurements. </w:t>
            </w:r>
          </w:p>
          <w:p w14:paraId="5F743812">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3 (CATT):</w:t>
            </w:r>
          </w:p>
          <w:p w14:paraId="0A7D47B1">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 RAN4 discusses to reuse or tighten the existing accuracy requirements for RSRP measurements for RRM measurement prediction case.</w:t>
            </w:r>
          </w:p>
          <w:p w14:paraId="0A1E0B03">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4 (Huawei):</w:t>
            </w:r>
          </w:p>
          <w:p w14:paraId="269E7FE8">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RAN4 to discuss the measurement impairment considered for verifying the actual prediction accuracy enabled by AI. </w:t>
            </w:r>
          </w:p>
          <w:p w14:paraId="25BFA6AA">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can perform link level simulation to determine the RSRP measurement impairment in different SNR values if the measured RSRP is considered as model output.</w:t>
            </w:r>
          </w:p>
          <w:p w14:paraId="1B7C927D">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If new measurement quantity is introduced in AI/ML mobility, new requirements for data collection may be specified accordingly, otherwise no RRM requirement is observed.</w:t>
            </w:r>
          </w:p>
          <w:p w14:paraId="7A5CBF8E">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5 (Apple):</w:t>
            </w:r>
          </w:p>
          <w:p w14:paraId="5765E032">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If RAN2 study fails to achieve the desired mobility performance (case 3) under realistic measurement accuracies (as defined by RAN4 requirements), a second round of simulations may be needed. In this phase, RAN4’s involvement would focus on investigating the potential impact on RRM measurement requirements to the mobility performance across various RRM measurement prediction cases and evaluation scenarios.</w:t>
            </w:r>
          </w:p>
          <w:p w14:paraId="626ABC84">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6 (Xiaomi):</w:t>
            </w:r>
          </w:p>
          <w:p w14:paraId="18D33F75">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If RAN4 would like to analyze the RSRP prediction accuracy degradation due to measurement error, suggest RAN4 to align the assumptions of input data and labels for training and test first.</w:t>
            </w:r>
          </w:p>
          <w:p w14:paraId="1B22B565">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7 (Samsung):</w:t>
            </w:r>
          </w:p>
          <w:p w14:paraId="2CA8AA05">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The simulation parameters for verifying the feasibility of requirement/testing in RAN4 should follow RAN2’s progress</w:t>
            </w:r>
          </w:p>
          <w:p w14:paraId="4D912739">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8 (MediaTek):</w:t>
            </w:r>
          </w:p>
          <w:p w14:paraId="5B836A0F">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cs="Times New Roman"/>
                <w:sz w:val="20"/>
                <w:szCs w:val="20"/>
              </w:rPr>
              <w:t>Wait for more progress in AI/ML BM to study the impact of measurement error on the prediction accuracy requirements for AI mobility.</w:t>
            </w:r>
          </w:p>
          <w:p w14:paraId="2D4DDF59">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Candidate options:</w:t>
            </w:r>
          </w:p>
          <w:p w14:paraId="45936646">
            <w:pPr>
              <w:pStyle w:val="12"/>
              <w:numPr>
                <w:ilvl w:val="1"/>
                <w:numId w:val="4"/>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color w:val="000000" w:themeColor="text1"/>
                <w:sz w:val="20"/>
                <w:szCs w:val="20"/>
                <w:lang w:eastAsia="zh-CN"/>
                <w14:textFill>
                  <w14:solidFill>
                    <w14:schemeClr w14:val="tx1"/>
                  </w14:solidFill>
                </w14:textFill>
              </w:rPr>
              <w:t>Option 1: RAN4 to study the prediction accuracy performance with consideration of the impact of measurement error.</w:t>
            </w:r>
          </w:p>
          <w:p w14:paraId="60CD4BAA">
            <w:pPr>
              <w:pStyle w:val="12"/>
              <w:numPr>
                <w:ilvl w:val="1"/>
                <w:numId w:val="4"/>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color w:val="000000" w:themeColor="text1"/>
                <w:sz w:val="20"/>
                <w:szCs w:val="20"/>
                <w:lang w:eastAsia="zh-CN"/>
                <w14:textFill>
                  <w14:solidFill>
                    <w14:schemeClr w14:val="tx1"/>
                  </w14:solidFill>
                </w14:textFill>
              </w:rPr>
              <w:t xml:space="preserve">Option 2: </w:t>
            </w:r>
            <w:r>
              <w:rPr>
                <w:rFonts w:hint="default" w:ascii="Times New Roman" w:hAnsi="Times New Roman" w:eastAsia="Yu Mincho" w:cs="Times New Roman"/>
                <w:sz w:val="20"/>
                <w:szCs w:val="20"/>
              </w:rPr>
              <w:t>suggest RAN2 to take into account the measurement errors in RAN2 evaluation.</w:t>
            </w:r>
          </w:p>
          <w:p w14:paraId="7F6320D4">
            <w:pPr>
              <w:pStyle w:val="12"/>
              <w:numPr>
                <w:ilvl w:val="1"/>
                <w:numId w:val="4"/>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3: Wait for RAN2 evaluation results and if RAN2 doesn’t consider measurement errors then RAN4 should do it after RAN2 evaluations.</w:t>
            </w:r>
          </w:p>
          <w:p w14:paraId="4AA3FF3D">
            <w:pPr>
              <w:pStyle w:val="12"/>
              <w:numPr>
                <w:ilvl w:val="1"/>
                <w:numId w:val="4"/>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4: </w:t>
            </w:r>
            <w:r>
              <w:rPr>
                <w:rFonts w:hint="default" w:ascii="Times New Roman" w:hAnsi="Times New Roman" w:cs="Times New Roman"/>
                <w:sz w:val="20"/>
                <w:szCs w:val="20"/>
              </w:rPr>
              <w:t>Wait for more progress in AI/ML BM to study the impact of measurement error on the prediction accuracy requirements for AI mobility</w:t>
            </w:r>
          </w:p>
          <w:p w14:paraId="13A824E4">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Recommended WF</w:t>
            </w:r>
          </w:p>
          <w:p w14:paraId="4988C2E1">
            <w:pPr>
              <w:pStyle w:val="12"/>
              <w:numPr>
                <w:ilvl w:val="1"/>
                <w:numId w:val="4"/>
              </w:numPr>
              <w:overflowPunct/>
              <w:autoSpaceDE/>
              <w:autoSpaceDN/>
              <w:adjustRightInd/>
              <w:spacing w:after="120"/>
              <w:ind w:firstLineChars="0"/>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Discuss different options listed above. Companies should be encouraged to review RAN2 simulation assumptions as well.</w:t>
            </w:r>
          </w:p>
          <w:p w14:paraId="7FE93165">
            <w:pPr>
              <w:spacing w:after="180" w:line="240" w:lineRule="exact"/>
              <w:rPr>
                <w:rFonts w:hint="default" w:ascii="Times New Roman" w:hAnsi="Times New Roman" w:eastAsia="等线" w:cs="Times New Roman"/>
                <w:bCs/>
                <w:iCs/>
                <w:sz w:val="20"/>
                <w:szCs w:val="20"/>
                <w:vertAlign w:val="baseline"/>
                <w:lang w:val="en-US" w:eastAsia="zh-CN"/>
              </w:rPr>
            </w:pPr>
          </w:p>
        </w:tc>
      </w:tr>
    </w:tbl>
    <w:p w14:paraId="3D90779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   </w:t>
      </w:r>
    </w:p>
    <w:p w14:paraId="2E6EEABC">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bCs/>
          <w:iCs/>
          <w:sz w:val="20"/>
          <w:szCs w:val="20"/>
          <w:lang w:val="en-US" w:eastAsia="zh-CN"/>
        </w:rPr>
        <w:t xml:space="preserve">For beam management for AI/ML for NR air interface, according to RAN1 evaluation in Rel-18 SI phase, </w:t>
      </w:r>
      <w:r>
        <w:rPr>
          <w:rFonts w:hint="eastAsia" w:ascii="Times New Roman" w:hAnsi="Times New Roman" w:eastAsia="等线" w:cs="Times New Roman"/>
          <w:bCs/>
          <w:iCs/>
          <w:sz w:val="20"/>
          <w:szCs w:val="20"/>
          <w:lang w:val="en-US" w:eastAsia="zh-CN"/>
        </w:rPr>
        <w:t xml:space="preserve">there is performance difference with different assumption of measurement error. For BM-Case1 DL Tx beam prediction, when Set B is a subset (1/4) of Set A, without differentiating BB errors and RF errors modelled as truncated Gaussian distribution, according to evaluation results, considering ±2 dB relative measurement error, the beam prediction accuracy degrades 6%~10% in terms of Top-1 beam prediction accuracy comparing to the one without measurement error. With ±3 or ±4 dB relative measurement error,  the beam prediction accuracy degrades 14% (with 3dB error) ~20% (with 4dB error) in terms of Top-1 beam prediction accuracy comparing to the one without measurement error. When the relative measurement accuracy increased to ±6 dB, the beam prediction accuracy degrades 22%~30% in terms of Top-1 beam prediction accuracy comparing to the one without measurement error. In last meeting, it was also agreed that RAN4 will study the impact of measurement error for the input to inference and dataset for training(set B measurement error) on prediction accuracy. </w:t>
      </w:r>
    </w:p>
    <w:p w14:paraId="0095161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For AI/ML for mobility, according to RAN2 evaluation, measurement error is not considered. Considering that </w:t>
      </w:r>
      <w:r>
        <w:rPr>
          <w:rFonts w:hint="eastAsia" w:ascii="Times New Roman" w:hAnsi="Times New Roman" w:eastAsia="等线"/>
          <w:bCs/>
          <w:iCs/>
          <w:sz w:val="20"/>
          <w:szCs w:val="20"/>
          <w:lang w:val="en-US" w:eastAsia="zh-CN"/>
        </w:rPr>
        <w:t>RRM measurement prediction, measurement event prediction and RLF/HOF prediction are performed by taking L1/L3 measurement results as input to AI/ML model, measurement error will be included in the measured results, it is necessary to evaluate the impact on prediction performance due to measurement error.</w:t>
      </w:r>
    </w:p>
    <w:p w14:paraId="7BED698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to </w:t>
      </w:r>
      <w:r>
        <w:rPr>
          <w:rFonts w:hint="default" w:ascii="Times New Roman" w:hAnsi="Times New Roman" w:eastAsia="游明朝" w:cs="Times New Roman"/>
          <w:b/>
          <w:bCs w:val="0"/>
          <w:i/>
          <w:iCs w:val="0"/>
          <w:sz w:val="20"/>
          <w:szCs w:val="20"/>
          <w:lang w:eastAsia="ja-JP"/>
        </w:rPr>
        <w:t>study the impact of measurement error on prediction accuracy</w:t>
      </w:r>
      <w:r>
        <w:rPr>
          <w:rFonts w:hint="eastAsia" w:ascii="Times New Roman" w:hAnsi="Times New Roman" w:cs="Times New Roman"/>
          <w:b/>
          <w:bCs w:val="0"/>
          <w:i/>
          <w:iCs w:val="0"/>
          <w:sz w:val="20"/>
          <w:szCs w:val="20"/>
          <w:lang w:val="en-US" w:eastAsia="zh-CN"/>
        </w:rPr>
        <w:t xml:space="preserve"> performance</w:t>
      </w:r>
      <w:r>
        <w:rPr>
          <w:rFonts w:hint="eastAsia" w:ascii="Times New Roman" w:hAnsi="Times New Roman" w:eastAsia="宋体" w:cs="Times New Roman"/>
          <w:b/>
          <w:bCs w:val="0"/>
          <w:i/>
          <w:iCs w:val="0"/>
          <w:sz w:val="20"/>
          <w:szCs w:val="20"/>
          <w:lang w:val="en-US"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A000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522F46E">
            <w:pPr>
              <w:pStyle w:val="5"/>
              <w:numPr>
                <w:ilvl w:val="3"/>
                <w:numId w:val="0"/>
              </w:numPr>
              <w:ind w:leftChars="0"/>
              <w:rPr>
                <w:rFonts w:hint="default" w:ascii="Times New Roman" w:hAnsi="Times New Roman" w:cs="Times New Roman"/>
                <w:sz w:val="20"/>
                <w:szCs w:val="20"/>
              </w:rPr>
            </w:pPr>
            <w:r>
              <w:rPr>
                <w:rFonts w:hint="default" w:ascii="Times New Roman" w:hAnsi="Times New Roman" w:cs="Times New Roman"/>
                <w:sz w:val="20"/>
                <w:szCs w:val="20"/>
              </w:rPr>
              <w:t>Issue 2-1-3: Impacts on Core requirements</w:t>
            </w:r>
          </w:p>
          <w:p w14:paraId="30C29E4A">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66C29D19">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1 (Xiaomi): </w:t>
            </w:r>
          </w:p>
          <w:p w14:paraId="6F87C6E2">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intra-frequency intra-cell prediction, RAN4 to study the RRM impact of observation window and prediction window defined in RAN2.</w:t>
            </w:r>
          </w:p>
          <w:p w14:paraId="760222E3">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inter-frequency inter-cell RSRP prediction, RAN4 to study the impact on CSSF reduction in measurement period.</w:t>
            </w:r>
          </w:p>
          <w:p w14:paraId="7C7C1457">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2 (Oppo): </w:t>
            </w:r>
          </w:p>
          <w:p w14:paraId="21938291">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each scenario, further consideration is needed on how to define it in RAN4 tests, e.g., configurations of the observation window and prediction window.</w:t>
            </w:r>
          </w:p>
          <w:p w14:paraId="1DA97C3B">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temporal domain case A, following limitations have been made in RAN2 and could be considered in RAN4:</w:t>
            </w:r>
          </w:p>
          <w:p w14:paraId="336443D4">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the ratio between observation window and prediction window is at least limited to value range {5,4,3,2,1,1/2,1/3,1/4,1/5}</w:t>
            </w:r>
          </w:p>
          <w:p w14:paraId="4A40A6A0">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the window length should be multiple times of sampling period or measurement period of corresponding frequency range.</w:t>
            </w:r>
          </w:p>
          <w:p w14:paraId="3F546859">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FR1 intra-frequency temporal domain case B, following recommended value range have been suggested in RAN2 and could be also considered in RAN4 discussion:</w:t>
            </w:r>
          </w:p>
          <w:p w14:paraId="479FEFF9">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MRRT: {50%~80%}</w:t>
            </w:r>
          </w:p>
          <w:p w14:paraId="0649CB42">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OW: {40ms ~ 2000ms}</w:t>
            </w:r>
          </w:p>
          <w:p w14:paraId="4ED2E88F">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PW: {40ms~800ms}</w:t>
            </w:r>
          </w:p>
          <w:p w14:paraId="15210A2C">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3 (CMCC): </w:t>
            </w:r>
          </w:p>
          <w:p w14:paraId="6A1DD8FF">
            <w:pPr>
              <w:pStyle w:val="12"/>
              <w:numPr>
                <w:ilvl w:val="2"/>
                <w:numId w:val="4"/>
              </w:numPr>
              <w:spacing w:before="120" w:after="120"/>
              <w:ind w:firstLineChars="0"/>
              <w:rPr>
                <w:rFonts w:hint="default" w:ascii="Times New Roman" w:hAnsi="Times New Roman" w:eastAsia="Yu Mincho" w:cs="Times New Roman"/>
                <w:b w:val="0"/>
                <w:bCs/>
                <w:sz w:val="20"/>
                <w:szCs w:val="20"/>
              </w:rPr>
            </w:pPr>
            <w:r>
              <w:rPr>
                <w:rFonts w:hint="default" w:ascii="Times New Roman" w:hAnsi="Times New Roman" w:eastAsia="等线" w:cs="Times New Roman"/>
                <w:b w:val="0"/>
                <w:bCs/>
                <w:i w:val="0"/>
                <w:iCs/>
                <w:sz w:val="20"/>
                <w:szCs w:val="20"/>
                <w:lang w:eastAsia="zh-CN"/>
              </w:rPr>
              <w:t>For RRM measurement prediction, the measurement delay requirements need to be defined/updated</w:t>
            </w:r>
          </w:p>
          <w:p w14:paraId="14A24221">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intra-frequency temporal domain prediction, UE will skip some measurement occasions, which means that only subset of measurement occasions are measured so that SMTC and/or MGRP cannot be directly used  in the measurement delay requirements as legacy</w:t>
            </w:r>
          </w:p>
          <w:p w14:paraId="77683E17">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inter-frequency inter-cell frequency domain prediction, not all configured MOs need to be measuerd, which means that only the actually measured frequency layers are considered in the measurement delay requirements</w:t>
            </w:r>
          </w:p>
          <w:p w14:paraId="030745D5">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4 (MediaTek): </w:t>
            </w:r>
          </w:p>
          <w:p w14:paraId="7C4A30D1">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Wait for more progress in AI/ML BM to study the impact on measurement report delay requirements for AI mobility.</w:t>
            </w:r>
          </w:p>
          <w:p w14:paraId="4FF34501">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Wait for more progress in AI/ML BM case 2 to study the impact on measurement delay requirements for AI mobility Scenario 2.</w:t>
            </w:r>
          </w:p>
          <w:p w14:paraId="179C29EF">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Scenario 3, gap sharing mechanism among different inter-frequency layers should be considered for inter-frequency layers which require normal measurement and inter-frequency layers which require model monitoring.</w:t>
            </w:r>
          </w:p>
          <w:p w14:paraId="08239552">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Scenario 4 has no impact on measurement delay requirements.</w:t>
            </w:r>
          </w:p>
          <w:p w14:paraId="4BB9783B">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5 (CATT):</w:t>
            </w:r>
          </w:p>
          <w:p w14:paraId="75FABD73">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RAN4 not to discuss impacts on core requirements until RAN2 has a stable mechanism for AI/ML assisted mobility. </w:t>
            </w:r>
          </w:p>
          <w:p w14:paraId="0794B618">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6 (Samsung): </w:t>
            </w:r>
          </w:p>
          <w:p w14:paraId="5733C51D">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study if HO requirements including delay, interruption, side conditions and accuracy are needed to be updated for AI/ML-assisted mobility</w:t>
            </w:r>
          </w:p>
          <w:p w14:paraId="2A61DAC6">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7 (Huawei): </w:t>
            </w:r>
          </w:p>
          <w:p w14:paraId="3DFC892E">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intra-frequency Intra-cell temporal domain prediction case A, prediction window length (or called as prediction evaluation period) may need to be discussed and specified.</w:t>
            </w:r>
          </w:p>
          <w:p w14:paraId="4660A074">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inter-frequency inter-cell frequency domain prediction, the side condition of frequency prediction (e.g., EPRE difference) and RSRP prediction accuracy would be specified.</w:t>
            </w:r>
          </w:p>
          <w:p w14:paraId="01475407">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The processing time of inference function may need to be considered in measurement reporting delay.</w:t>
            </w:r>
          </w:p>
          <w:p w14:paraId="519CDA7D">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8 (ZTE): </w:t>
            </w:r>
          </w:p>
          <w:p w14:paraId="5E4A2D90">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should discuss the value of MRRT and MRRS, which involve the number of skipped measurement instances and total measurement instances.</w:t>
            </w:r>
          </w:p>
          <w:p w14:paraId="0C3423E0">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9 (Vivo):</w:t>
            </w:r>
          </w:p>
          <w:p w14:paraId="2A7DE7F9">
            <w:pPr>
              <w:pStyle w:val="12"/>
              <w:numPr>
                <w:ilvl w:val="2"/>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 RAN4 could discuss the impact of measurement delay requirements due to the reduction of measurement samples; </w:t>
            </w:r>
          </w:p>
          <w:p w14:paraId="47C33907">
            <w:pPr>
              <w:pStyle w:val="12"/>
              <w:numPr>
                <w:ilvl w:val="1"/>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10 (NTT Docomo):</w:t>
            </w:r>
          </w:p>
          <w:p w14:paraId="38F73C54">
            <w:pPr>
              <w:pStyle w:val="12"/>
              <w:numPr>
                <w:ilvl w:val="2"/>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 temporal domain case B, the total measurement delay may be same as non-AI/ML measurement. Thus, impacts on RAN4 requirements can be interruption, scheduling availability, configurable number of cells and number of SSBs, sharing factor between each measurement, and CSSF assumption.</w:t>
            </w:r>
          </w:p>
          <w:p w14:paraId="5A1886E7">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Candidate options:</w:t>
            </w:r>
          </w:p>
          <w:p w14:paraId="0DCB11B8">
            <w:pPr>
              <w:pStyle w:val="12"/>
              <w:numPr>
                <w:ilvl w:val="1"/>
                <w:numId w:val="4"/>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color w:val="000000" w:themeColor="text1"/>
                <w:sz w:val="20"/>
                <w:szCs w:val="20"/>
                <w:lang w:eastAsia="zh-CN"/>
                <w14:textFill>
                  <w14:solidFill>
                    <w14:schemeClr w14:val="tx1"/>
                  </w14:solidFill>
                </w14:textFill>
              </w:rPr>
              <w:t>Option 1: For intra-frequency intra-cell prediction, RAN4 to study the RRM impact of observation window and prediction window defined in RAN2</w:t>
            </w:r>
          </w:p>
          <w:p w14:paraId="67C4F2EF">
            <w:pPr>
              <w:pStyle w:val="12"/>
              <w:numPr>
                <w:ilvl w:val="1"/>
                <w:numId w:val="4"/>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2: </w:t>
            </w:r>
            <w:r>
              <w:rPr>
                <w:rFonts w:hint="default" w:ascii="Times New Roman" w:hAnsi="Times New Roman" w:cs="Times New Roman"/>
                <w:color w:val="000000" w:themeColor="text1"/>
                <w:sz w:val="20"/>
                <w:szCs w:val="20"/>
                <w:lang w:eastAsia="zh-CN"/>
                <w14:textFill>
                  <w14:solidFill>
                    <w14:schemeClr w14:val="tx1"/>
                  </w14:solidFill>
                </w14:textFill>
              </w:rPr>
              <w:t xml:space="preserve">For </w:t>
            </w:r>
            <w:r>
              <w:rPr>
                <w:rFonts w:hint="default" w:ascii="Times New Roman" w:hAnsi="Times New Roman" w:cs="Times New Roman"/>
                <w:sz w:val="20"/>
                <w:szCs w:val="20"/>
                <w:lang w:eastAsia="zh-CN"/>
              </w:rPr>
              <w:t>inter-frequency inter-cell frequency domain prediction</w:t>
            </w:r>
            <w:r>
              <w:rPr>
                <w:rFonts w:hint="default" w:ascii="Times New Roman" w:hAnsi="Times New Roman" w:cs="Times New Roman"/>
                <w:color w:val="000000" w:themeColor="text1"/>
                <w:sz w:val="20"/>
                <w:szCs w:val="20"/>
                <w:lang w:eastAsia="zh-CN"/>
                <w14:textFill>
                  <w14:solidFill>
                    <w14:schemeClr w14:val="tx1"/>
                  </w14:solidFill>
                </w14:textFill>
              </w:rPr>
              <w:t xml:space="preserve">, RAN4 to study </w:t>
            </w:r>
            <w:r>
              <w:rPr>
                <w:rFonts w:hint="default" w:ascii="Times New Roman" w:hAnsi="Times New Roman" w:cs="Times New Roman"/>
                <w:sz w:val="20"/>
                <w:szCs w:val="20"/>
                <w:lang w:eastAsia="zh-CN"/>
              </w:rPr>
              <w:t>the side condition of frequency prediction (e.g., EPRE difference).</w:t>
            </w:r>
          </w:p>
          <w:p w14:paraId="3DD8BA9B">
            <w:pPr>
              <w:pStyle w:val="12"/>
              <w:numPr>
                <w:ilvl w:val="1"/>
                <w:numId w:val="4"/>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color w:val="000000" w:themeColor="text1"/>
                <w:sz w:val="20"/>
                <w:szCs w:val="20"/>
                <w:lang w:eastAsia="zh-CN"/>
                <w14:textFill>
                  <w14:solidFill>
                    <w14:schemeClr w14:val="tx1"/>
                  </w14:solidFill>
                </w14:textFill>
              </w:rPr>
              <w:t xml:space="preserve">Option 3: </w:t>
            </w:r>
            <w:r>
              <w:rPr>
                <w:rFonts w:hint="default" w:ascii="Times New Roman" w:hAnsi="Times New Roman" w:eastAsia="Yu Mincho" w:cs="Times New Roman"/>
                <w:sz w:val="20"/>
                <w:szCs w:val="20"/>
              </w:rPr>
              <w:t>Wait for more progress in AI/ML BM to study the impact on measurement report delay requirements for AI mobility</w:t>
            </w:r>
          </w:p>
          <w:p w14:paraId="15C0EB95">
            <w:pPr>
              <w:pStyle w:val="12"/>
              <w:numPr>
                <w:ilvl w:val="1"/>
                <w:numId w:val="4"/>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4: RAN4 not to discuss impacts on core requirements until RAN2 has a stable mechanism for AI/ML assisted mobility. </w:t>
            </w:r>
          </w:p>
          <w:p w14:paraId="01AFEDCE">
            <w:pPr>
              <w:pStyle w:val="12"/>
              <w:numPr>
                <w:ilvl w:val="1"/>
                <w:numId w:val="4"/>
              </w:numPr>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5: RAN4 to study if HO requirements including delay, interruption, side conditions and accuracy are needed to be updated for AI/ML-assisted mobility</w:t>
            </w:r>
          </w:p>
          <w:p w14:paraId="21C9BFE2">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Recommended WF</w:t>
            </w:r>
          </w:p>
          <w:p w14:paraId="5CAF26CD">
            <w:pPr>
              <w:pStyle w:val="12"/>
              <w:numPr>
                <w:ilvl w:val="1"/>
                <w:numId w:val="4"/>
              </w:numPr>
              <w:overflowPunct/>
              <w:autoSpaceDE/>
              <w:autoSpaceDN/>
              <w:adjustRightInd/>
              <w:spacing w:after="120"/>
              <w:ind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color w:val="000000" w:themeColor="text1"/>
                <w:sz w:val="20"/>
                <w:szCs w:val="20"/>
                <w:lang w:eastAsia="zh-CN"/>
                <w14:textFill>
                  <w14:solidFill>
                    <w14:schemeClr w14:val="tx1"/>
                  </w14:solidFill>
                </w14:textFill>
              </w:rPr>
              <w:t>Discuss above listed options.</w:t>
            </w:r>
          </w:p>
        </w:tc>
      </w:tr>
    </w:tbl>
    <w:p w14:paraId="1F1D880A">
      <w:pPr>
        <w:spacing w:after="180" w:line="240" w:lineRule="exact"/>
        <w:rPr>
          <w:rFonts w:hint="eastAsia" w:ascii="Times New Roman" w:hAnsi="Times New Roman" w:eastAsia="等线"/>
          <w:bCs/>
          <w:iCs/>
          <w:sz w:val="20"/>
          <w:szCs w:val="20"/>
          <w:lang w:val="en-US" w:eastAsia="zh-CN"/>
        </w:rPr>
      </w:pPr>
    </w:p>
    <w:p w14:paraId="43A7097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RAN2 agreements, measurement prediction accuracy for cell-level RRM measurement prediction is defined as average L3 RSRP difference between predicted L3 filtered cell-level measurement result and actual L3 filtered cell-level measurement result of the same cell. The actual L3 level measurement results need to be further clarified. For example, for FR2, nobody knows the actually measured results at UE since RX beamforming gain is up to implementation. And another consideration is that for legacy FR1, the accuracy is based on ideal RSRP, while according to RAN2 agreements the accuracy is based on measured RSRP. It is necessary to discuss which way to follow to define RAN4 accuracy requirements.</w:t>
      </w:r>
    </w:p>
    <w:p w14:paraId="0C69087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RAN2 agreement that measurement prediction accuracy for cell-level RRM measurement prediction is defined as average L3 RSRP difference between predicted L3 filtered cell-level measurement result and actual L3 filtered cell-level measurement result of the same cell, from RAN4 requirements point of view, it is proposed to further clarify the detail of actual L3 level measurement results. </w:t>
      </w:r>
    </w:p>
    <w:p w14:paraId="1A6630D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AI/ML based beam management, one of the candidate test metrics is RSRP prediction accuracy. Even though the final definition is not concluded, but it is most likely to follow the legacy way which is the difference between predicted L1-RSRP of beam index i and ideal measured L1-RSRP of beam index i. As for the ideal measured L1-RSRP for FR2, it was agreed that the ground truth for the predicted RSRP is the ideal measurement of RSRP on the predicted Tx beam. In order to solve the uncertainty due to RX beamforming gain, it is agreed in RAN4 that the ground truth is the approximate as the reported RSRP measurement under the certain SNR on the predicted Tx beam. Taking above into account, the cell level RSRP prediction accuracy can be defined as the difference between predicted RSRP and ideal measured RSRP. For FR1, the ideal measured RSRP is the transmitted RSRP, which is obtained as the legacy way of conducted test. For FR2, the ideal RSRP is approximate as the reported RSRP measurement under the certain SNR (SNR is high enough for sufficient accuracy of reported RSRP).</w:t>
      </w:r>
    </w:p>
    <w:p w14:paraId="21053DC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the cell level RSRP prediction accuracy is proposed as following: </w:t>
      </w:r>
    </w:p>
    <w:p w14:paraId="6423A3D0">
      <w:pPr>
        <w:numPr>
          <w:ilvl w:val="0"/>
          <w:numId w:val="8"/>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default" w:ascii="Times New Roman" w:hAnsi="Times New Roman" w:eastAsia="Yu Mincho" w:cs="Times New Roman"/>
          <w:b/>
          <w:bCs w:val="0"/>
          <w:i/>
          <w:iCs w:val="0"/>
          <w:color w:val="auto"/>
          <w:sz w:val="20"/>
          <w:szCs w:val="20"/>
          <w:lang w:eastAsia="ja-JP"/>
        </w:rPr>
        <w:t xml:space="preserve">Absolute </w:t>
      </w:r>
      <w:r>
        <w:rPr>
          <w:rFonts w:hint="eastAsia" w:ascii="Times New Roman" w:hAnsi="Times New Roman" w:eastAsia="等线"/>
          <w:b/>
          <w:bCs w:val="0"/>
          <w:i/>
          <w:iCs w:val="0"/>
          <w:sz w:val="20"/>
          <w:szCs w:val="20"/>
          <w:lang w:val="en-US" w:eastAsia="zh-CN"/>
        </w:rPr>
        <w:t xml:space="preserve">cell level </w:t>
      </w:r>
      <w:r>
        <w:rPr>
          <w:rFonts w:hint="default" w:ascii="Times New Roman" w:hAnsi="Times New Roman" w:eastAsia="Yu Mincho" w:cs="Times New Roman"/>
          <w:b/>
          <w:bCs w:val="0"/>
          <w:i/>
          <w:iCs w:val="0"/>
          <w:color w:val="auto"/>
          <w:sz w:val="20"/>
          <w:szCs w:val="20"/>
          <w:lang w:eastAsia="ja-JP"/>
        </w:rPr>
        <w:t>RSRP accuracy</w:t>
      </w:r>
      <w:r>
        <w:rPr>
          <w:rFonts w:hint="eastAsia" w:ascii="Times New Roman" w:hAnsi="Times New Roman" w:eastAsia="宋体" w:cs="Times New Roman"/>
          <w:b/>
          <w:bCs w:val="0"/>
          <w:i/>
          <w:iCs w:val="0"/>
          <w:color w:val="auto"/>
          <w:sz w:val="20"/>
          <w:szCs w:val="20"/>
          <w:lang w:val="en-US" w:eastAsia="zh-CN"/>
        </w:rPr>
        <w:t xml:space="preserve"> </w:t>
      </w:r>
      <w:r>
        <w:rPr>
          <w:rFonts w:hint="default" w:ascii="Times New Roman" w:hAnsi="Times New Roman" w:eastAsia="Yu Mincho" w:cs="Times New Roman"/>
          <w:b/>
          <w:bCs w:val="0"/>
          <w:i/>
          <w:iCs w:val="0"/>
          <w:color w:val="auto"/>
          <w:sz w:val="20"/>
          <w:szCs w:val="20"/>
          <w:lang w:eastAsia="ja-JP"/>
        </w:rPr>
        <w:t xml:space="preserve">= </w:t>
      </w:r>
      <w:r>
        <w:rPr>
          <w:rFonts w:hint="eastAsia" w:ascii="Times New Roman" w:hAnsi="Times New Roman" w:eastAsia="宋体" w:cs="Times New Roman"/>
          <w:b/>
          <w:bCs w:val="0"/>
          <w:i/>
          <w:iCs w:val="0"/>
          <w:color w:val="auto"/>
          <w:sz w:val="20"/>
          <w:szCs w:val="20"/>
          <w:lang w:val="en-US" w:eastAsia="zh-CN"/>
        </w:rPr>
        <w:t xml:space="preserve"> </w:t>
      </w:r>
      <w:r>
        <w:rPr>
          <w:rFonts w:hint="default" w:ascii="Times New Roman" w:hAnsi="Times New Roman" w:eastAsia="Yu Mincho" w:cs="Times New Roman"/>
          <w:b/>
          <w:bCs w:val="0"/>
          <w:i/>
          <w:iCs w:val="0"/>
          <w:color w:val="auto"/>
          <w:sz w:val="20"/>
          <w:szCs w:val="20"/>
          <w:lang w:eastAsia="ja-JP"/>
        </w:rPr>
        <w:t>predicted L</w:t>
      </w:r>
      <w:r>
        <w:rPr>
          <w:rFonts w:hint="eastAsia" w:ascii="Times New Roman" w:hAnsi="Times New Roman" w:eastAsia="宋体" w:cs="Times New Roman"/>
          <w:b/>
          <w:bCs w:val="0"/>
          <w:i/>
          <w:iCs w:val="0"/>
          <w:color w:val="auto"/>
          <w:sz w:val="20"/>
          <w:szCs w:val="20"/>
          <w:lang w:val="en-US" w:eastAsia="zh-CN"/>
        </w:rPr>
        <w:t>3</w:t>
      </w:r>
      <w:r>
        <w:rPr>
          <w:rFonts w:hint="default" w:ascii="Times New Roman" w:hAnsi="Times New Roman" w:eastAsia="Yu Mincho" w:cs="Times New Roman"/>
          <w:b/>
          <w:bCs w:val="0"/>
          <w:i/>
          <w:iCs w:val="0"/>
          <w:color w:val="auto"/>
          <w:sz w:val="20"/>
          <w:szCs w:val="20"/>
          <w:lang w:eastAsia="ja-JP"/>
        </w:rPr>
        <w:t xml:space="preserve">-RSRP of </w:t>
      </w:r>
      <w:r>
        <w:rPr>
          <w:rFonts w:hint="eastAsia" w:ascii="Times New Roman" w:hAnsi="Times New Roman" w:eastAsia="宋体" w:cs="Times New Roman"/>
          <w:b/>
          <w:bCs w:val="0"/>
          <w:i/>
          <w:iCs w:val="0"/>
          <w:color w:val="auto"/>
          <w:sz w:val="20"/>
          <w:szCs w:val="20"/>
          <w:lang w:val="en-US" w:eastAsia="zh-CN"/>
        </w:rPr>
        <w:t>cell</w:t>
      </w:r>
      <w:r>
        <w:rPr>
          <w:rFonts w:hint="default" w:ascii="Times New Roman" w:hAnsi="Times New Roman" w:eastAsia="Yu Mincho" w:cs="Times New Roman"/>
          <w:b/>
          <w:bCs w:val="0"/>
          <w:i/>
          <w:iCs w:val="0"/>
          <w:color w:val="auto"/>
          <w:sz w:val="20"/>
          <w:szCs w:val="20"/>
          <w:lang w:eastAsia="ja-JP"/>
        </w:rPr>
        <w:t xml:space="preserve"> i –</w:t>
      </w:r>
      <w:r>
        <w:rPr>
          <w:rFonts w:hint="eastAsia" w:ascii="Times New Roman" w:hAnsi="Times New Roman" w:eastAsia="宋体" w:cs="Times New Roman"/>
          <w:b/>
          <w:bCs w:val="0"/>
          <w:i/>
          <w:iCs w:val="0"/>
          <w:color w:val="auto"/>
          <w:sz w:val="20"/>
          <w:szCs w:val="20"/>
          <w:lang w:val="en-US" w:eastAsia="zh-CN"/>
        </w:rPr>
        <w:t xml:space="preserve"> </w:t>
      </w:r>
      <w:r>
        <w:rPr>
          <w:rFonts w:hint="eastAsia" w:ascii="Times New Roman" w:hAnsi="Times New Roman" w:eastAsia="等线"/>
          <w:b/>
          <w:bCs w:val="0"/>
          <w:i/>
          <w:iCs w:val="0"/>
          <w:sz w:val="20"/>
          <w:szCs w:val="20"/>
          <w:lang w:val="en-US" w:eastAsia="zh-CN"/>
        </w:rPr>
        <w:t>ideal measured L3-RSRP of cell i</w:t>
      </w:r>
    </w:p>
    <w:p w14:paraId="7D23E743">
      <w:pPr>
        <w:numPr>
          <w:ilvl w:val="0"/>
          <w:numId w:val="9"/>
        </w:numPr>
        <w:tabs>
          <w:tab w:val="left" w:pos="420"/>
          <w:tab w:val="clear" w:pos="0"/>
        </w:tabs>
        <w:spacing w:after="180" w:line="240" w:lineRule="exact"/>
        <w:ind w:left="840" w:leftChars="0" w:hanging="420" w:firstLineChars="0"/>
        <w:rPr>
          <w:rFonts w:hint="eastAsia" w:ascii="Times New Roman" w:hAnsi="Times New Roman" w:eastAsia="宋体" w:cs="Times New Roman"/>
          <w:b/>
          <w:bCs w:val="0"/>
          <w:i/>
          <w:iCs w:val="0"/>
          <w:sz w:val="20"/>
          <w:szCs w:val="20"/>
          <w:highlight w:val="none"/>
          <w:lang w:val="en-US" w:eastAsia="zh-CN"/>
        </w:rPr>
      </w:pPr>
      <w:r>
        <w:rPr>
          <w:rFonts w:hint="eastAsia" w:ascii="Times New Roman" w:hAnsi="Times New Roman" w:eastAsia="宋体" w:cs="Times New Roman"/>
          <w:b/>
          <w:bCs w:val="0"/>
          <w:i/>
          <w:iCs w:val="0"/>
          <w:sz w:val="20"/>
          <w:szCs w:val="20"/>
          <w:highlight w:val="none"/>
          <w:lang w:val="en-US" w:eastAsia="zh-CN"/>
        </w:rPr>
        <w:t xml:space="preserve">For FR2, the </w:t>
      </w:r>
      <w:r>
        <w:rPr>
          <w:rFonts w:hint="eastAsia" w:ascii="Times New Roman" w:hAnsi="Times New Roman" w:eastAsia="等线"/>
          <w:b/>
          <w:bCs w:val="0"/>
          <w:i/>
          <w:iCs w:val="0"/>
          <w:sz w:val="20"/>
          <w:szCs w:val="20"/>
          <w:lang w:val="en-US" w:eastAsia="zh-CN"/>
        </w:rPr>
        <w:t>ideal measured L3-RSRP</w:t>
      </w:r>
      <w:r>
        <w:rPr>
          <w:rFonts w:hint="default" w:ascii="Times New Roman" w:hAnsi="Times New Roman" w:eastAsia="Yu Mincho" w:cs="Times New Roman"/>
          <w:b/>
          <w:bCs w:val="0"/>
          <w:i/>
          <w:iCs w:val="0"/>
          <w:sz w:val="20"/>
          <w:szCs w:val="20"/>
          <w:highlight w:val="none"/>
          <w:lang w:eastAsia="ja-JP"/>
        </w:rPr>
        <w:t xml:space="preserve"> is the approximate as the reported RSRP measurement under </w:t>
      </w:r>
      <w:r>
        <w:rPr>
          <w:rFonts w:hint="eastAsia" w:ascii="Times New Roman" w:hAnsi="Times New Roman" w:eastAsia="宋体" w:cs="Times New Roman"/>
          <w:b/>
          <w:bCs w:val="0"/>
          <w:i/>
          <w:iCs w:val="0"/>
          <w:sz w:val="20"/>
          <w:szCs w:val="20"/>
          <w:highlight w:val="none"/>
          <w:lang w:val="en-US" w:eastAsia="zh-CN"/>
        </w:rPr>
        <w:t>a</w:t>
      </w:r>
      <w:r>
        <w:rPr>
          <w:rFonts w:hint="default" w:ascii="Times New Roman" w:hAnsi="Times New Roman" w:eastAsia="Yu Mincho" w:cs="Times New Roman"/>
          <w:b/>
          <w:bCs w:val="0"/>
          <w:i/>
          <w:iCs w:val="0"/>
          <w:sz w:val="20"/>
          <w:szCs w:val="20"/>
          <w:highlight w:val="none"/>
          <w:lang w:eastAsia="ja-JP"/>
        </w:rPr>
        <w:t xml:space="preserve"> certain SNR</w:t>
      </w:r>
      <w:r>
        <w:rPr>
          <w:rFonts w:hint="eastAsia" w:ascii="Times New Roman" w:hAnsi="Times New Roman" w:eastAsia="宋体" w:cs="Times New Roman"/>
          <w:b/>
          <w:bCs w:val="0"/>
          <w:i/>
          <w:iCs w:val="0"/>
          <w:sz w:val="20"/>
          <w:szCs w:val="20"/>
          <w:highlight w:val="none"/>
          <w:lang w:val="en-US" w:eastAsia="zh-CN"/>
        </w:rPr>
        <w:t xml:space="preserve"> (the </w:t>
      </w:r>
      <w:r>
        <w:rPr>
          <w:rFonts w:hint="eastAsia" w:ascii="Times New Roman" w:hAnsi="Times New Roman" w:eastAsia="等线"/>
          <w:b/>
          <w:bCs w:val="0"/>
          <w:i/>
          <w:iCs w:val="0"/>
          <w:sz w:val="20"/>
          <w:szCs w:val="20"/>
          <w:lang w:val="en-US" w:eastAsia="zh-CN"/>
        </w:rPr>
        <w:t>SNR is high enough for sufficient accuracy of reported RSRP</w:t>
      </w:r>
      <w:r>
        <w:rPr>
          <w:rFonts w:hint="eastAsia" w:ascii="Times New Roman" w:hAnsi="Times New Roman" w:eastAsia="宋体" w:cs="Times New Roman"/>
          <w:b/>
          <w:bCs w:val="0"/>
          <w:i/>
          <w:iCs w:val="0"/>
          <w:sz w:val="20"/>
          <w:szCs w:val="20"/>
          <w:highlight w:val="none"/>
          <w:lang w:val="en-US" w:eastAsia="zh-CN"/>
        </w:rPr>
        <w:t>)</w:t>
      </w:r>
    </w:p>
    <w:p w14:paraId="21F2F772">
      <w:pPr>
        <w:numPr>
          <w:ilvl w:val="0"/>
          <w:numId w:val="9"/>
        </w:numPr>
        <w:tabs>
          <w:tab w:val="left" w:pos="420"/>
          <w:tab w:val="clear" w:pos="0"/>
        </w:tabs>
        <w:spacing w:after="180" w:line="240" w:lineRule="exact"/>
        <w:ind w:left="840" w:leftChars="0" w:hanging="420" w:firstLineChars="0"/>
        <w:rPr>
          <w:rFonts w:hint="eastAsia" w:ascii="Times New Roman" w:hAnsi="Times New Roman" w:eastAsia="宋体" w:cs="Times New Roman"/>
          <w:b/>
          <w:bCs w:val="0"/>
          <w:i/>
          <w:iCs w:val="0"/>
          <w:sz w:val="20"/>
          <w:szCs w:val="20"/>
          <w:highlight w:val="none"/>
          <w:lang w:val="en-US" w:eastAsia="zh-CN"/>
        </w:rPr>
      </w:pPr>
      <w:r>
        <w:rPr>
          <w:rFonts w:hint="eastAsia" w:ascii="Times New Roman" w:hAnsi="Times New Roman" w:eastAsia="宋体" w:cs="Times New Roman"/>
          <w:b/>
          <w:bCs w:val="0"/>
          <w:i/>
          <w:iCs w:val="0"/>
          <w:sz w:val="20"/>
          <w:szCs w:val="20"/>
          <w:highlight w:val="none"/>
          <w:lang w:val="en-US" w:eastAsia="zh-CN"/>
        </w:rPr>
        <w:t>For FR1, the ideal measured L3-RSRP</w:t>
      </w:r>
      <w:r>
        <w:rPr>
          <w:rFonts w:hint="default" w:ascii="Times New Roman" w:hAnsi="Times New Roman" w:eastAsia="宋体" w:cs="Times New Roman"/>
          <w:b/>
          <w:bCs w:val="0"/>
          <w:i/>
          <w:iCs w:val="0"/>
          <w:sz w:val="20"/>
          <w:szCs w:val="20"/>
          <w:highlight w:val="none"/>
          <w:lang w:val="en-US" w:eastAsia="ja-JP"/>
        </w:rPr>
        <w:t xml:space="preserve"> is the</w:t>
      </w:r>
      <w:r>
        <w:rPr>
          <w:rFonts w:hint="eastAsia" w:ascii="Times New Roman" w:hAnsi="Times New Roman" w:eastAsia="宋体" w:cs="Times New Roman"/>
          <w:b/>
          <w:bCs w:val="0"/>
          <w:i/>
          <w:iCs w:val="0"/>
          <w:sz w:val="20"/>
          <w:szCs w:val="20"/>
          <w:highlight w:val="none"/>
          <w:lang w:val="en-US" w:eastAsia="zh-CN"/>
        </w:rPr>
        <w:t xml:space="preserve"> transmitted power</w:t>
      </w:r>
      <w:r>
        <w:rPr>
          <w:rFonts w:hint="eastAsia" w:ascii="Times New Roman" w:hAnsi="Times New Roman" w:cs="Times New Roman"/>
          <w:b/>
          <w:bCs w:val="0"/>
          <w:i/>
          <w:iCs w:val="0"/>
          <w:sz w:val="20"/>
          <w:szCs w:val="20"/>
          <w:highlight w:val="none"/>
          <w:lang w:val="en-US" w:eastAsia="zh-CN"/>
        </w:rPr>
        <w:t xml:space="preserve">, which is obtained as the legacy way of conducted test </w:t>
      </w:r>
      <w:r>
        <w:rPr>
          <w:rFonts w:hint="eastAsia" w:ascii="Times New Roman" w:hAnsi="Times New Roman" w:eastAsia="宋体" w:cs="Times New Roman"/>
          <w:b/>
          <w:bCs w:val="0"/>
          <w:i/>
          <w:iCs w:val="0"/>
          <w:sz w:val="20"/>
          <w:szCs w:val="20"/>
          <w:highlight w:val="none"/>
          <w:lang w:val="en-US" w:eastAsia="zh-CN"/>
        </w:rPr>
        <w:t xml:space="preserve"> </w:t>
      </w:r>
    </w:p>
    <w:p w14:paraId="703B604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RAN2 also agreed the KPIs about measurement reduction rate, which is defined in the temporal domain (called MRRT) by assuming same length of measurement time instances and spatial domain respectively(called MRRS). </w:t>
      </w:r>
    </w:p>
    <w:p w14:paraId="0F248F6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MRRT = skipped measurement time instances / total measurement time instances</w:t>
      </w:r>
    </w:p>
    <w:p w14:paraId="13A441E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MRRS = skipped beams to be measured/ total beams to be measured</w:t>
      </w:r>
    </w:p>
    <w:p w14:paraId="7B33641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legacy, there is no RAN4 requirements on measurement reduction, whether to introduce related requirements for AI/ML based mobility can be further discussed.</w:t>
      </w:r>
    </w:p>
    <w:p w14:paraId="10A406C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to discuss whether to introduce RAN4 requirements about MRRT and MRRS.</w:t>
      </w:r>
    </w:p>
    <w:p w14:paraId="098FB08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consideration is that the measurement delay requirements may also need to be newly defined for some scenarios. Scenario 3 is FR1 to FR1 inter-frequency inter-cell prediction, for example, prediction from low-frequency cell to high-frequency cell, which means that not all configured MOs need to be measuerd. The legacy measurement delay is scaled with the number of MOs, which need to be updated to only consider the actually measured frequency layers. As for the intra-frequency temporal domain prediction, e.g. case B, the lagacy measurement delay also need to be updated. In legacy, SMTC or MGRP is in use in the measurement delay requirements, while for tempory domain prediction, UE only measure subset of SMTC/MGRP, and predict the results of other measurement occasions. </w:t>
      </w:r>
    </w:p>
    <w:p w14:paraId="52B4549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for RRM measurement prediction, the measurement delay requirements need to be defined/updated</w:t>
      </w:r>
    </w:p>
    <w:p w14:paraId="6AD742E6">
      <w:pPr>
        <w:numPr>
          <w:ilvl w:val="0"/>
          <w:numId w:val="10"/>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intra-frequency temporal domain prediction, UE will skip some measurement occasions, which means that only subset of measurement occasions are measured so that SMTC and/or MGRP cannot be directly used in the measurement delay requirements as legacy</w:t>
      </w:r>
    </w:p>
    <w:p w14:paraId="570326A2">
      <w:pPr>
        <w:numPr>
          <w:ilvl w:val="0"/>
          <w:numId w:val="10"/>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For inter-frequency inter-cell frequency domain prediction, not all configured MOs need to be measuerd, which means that only the actually measured frequency layers are considered in the measurement delay requirements</w:t>
      </w:r>
    </w:p>
    <w:p w14:paraId="75DB2688">
      <w:pPr>
        <w:spacing w:after="180" w:line="240" w:lineRule="exact"/>
        <w:rPr>
          <w:rFonts w:hint="default" w:ascii="Times New Roman" w:hAnsi="Times New Roman" w:eastAsia="等线"/>
          <w:bCs/>
          <w:iCs/>
          <w:sz w:val="20"/>
          <w:szCs w:val="20"/>
          <w:lang w:val="en-US" w:eastAsia="zh-CN"/>
        </w:rPr>
      </w:pPr>
    </w:p>
    <w:bookmarkEnd w:id="7"/>
    <w:bookmarkEnd w:id="8"/>
    <w:p w14:paraId="2F63ED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lang w:val="en-US" w:eastAsia="zh-CN"/>
        </w:rPr>
        <w:t xml:space="preserve">impacts on RAN4 requirements for AI/ML for </w:t>
      </w:r>
      <w:r>
        <w:rPr>
          <w:rFonts w:hint="eastAsia" w:ascii="Times New Roman" w:hAnsi="Times New Roman"/>
          <w:sz w:val="20"/>
          <w:szCs w:val="20"/>
          <w:lang w:val="en-US" w:eastAsia="zh-CN"/>
        </w:rPr>
        <w:t>mobility</w:t>
      </w:r>
      <w:r>
        <w:rPr>
          <w:rFonts w:hint="eastAsia" w:ascii="Times New Roman" w:hAnsi="Times New Roman"/>
          <w:sz w:val="20"/>
          <w:szCs w:val="20"/>
        </w:rPr>
        <w:t>. The proposals are:</w:t>
      </w:r>
    </w:p>
    <w:p w14:paraId="76891E7B">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the study on the impacts on requirements, except L3 cell level RSRP (Point C) prediction, it is proposed to consider L1 beam-level (Point A</w:t>
      </w:r>
      <w:r>
        <w:rPr>
          <w:rFonts w:hint="eastAsia" w:ascii="Times New Roman" w:hAnsi="Times New Roman" w:eastAsia="等线"/>
          <w:b/>
          <w:bCs w:val="0"/>
          <w:i/>
          <w:iCs w:val="0"/>
          <w:sz w:val="20"/>
          <w:szCs w:val="20"/>
          <w:vertAlign w:val="superscript"/>
          <w:lang w:val="en-US" w:eastAsia="zh-CN"/>
        </w:rPr>
        <w:t>1</w:t>
      </w:r>
      <w:r>
        <w:rPr>
          <w:rFonts w:hint="eastAsia" w:ascii="Times New Roman" w:hAnsi="Times New Roman" w:eastAsia="等线"/>
          <w:b/>
          <w:bCs w:val="0"/>
          <w:i/>
          <w:iCs w:val="0"/>
          <w:sz w:val="20"/>
          <w:szCs w:val="20"/>
          <w:lang w:val="en-US" w:eastAsia="zh-CN"/>
        </w:rPr>
        <w:t>). L3 beam-level (Point E) can be deprioritizedbasedon RAN2 agreements.</w:t>
      </w:r>
    </w:p>
    <w:p w14:paraId="0D7E59B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to </w:t>
      </w:r>
      <w:r>
        <w:rPr>
          <w:rFonts w:hint="default" w:ascii="Times New Roman" w:hAnsi="Times New Roman" w:eastAsia="游明朝" w:cs="Times New Roman"/>
          <w:b/>
          <w:bCs w:val="0"/>
          <w:i/>
          <w:iCs w:val="0"/>
          <w:sz w:val="20"/>
          <w:szCs w:val="20"/>
          <w:lang w:eastAsia="ja-JP"/>
        </w:rPr>
        <w:t>study the impact of measurement error on prediction accuracy</w:t>
      </w:r>
      <w:r>
        <w:rPr>
          <w:rFonts w:hint="eastAsia" w:ascii="Times New Roman" w:hAnsi="Times New Roman" w:cs="Times New Roman"/>
          <w:b/>
          <w:bCs w:val="0"/>
          <w:i/>
          <w:iCs w:val="0"/>
          <w:sz w:val="20"/>
          <w:szCs w:val="20"/>
          <w:lang w:val="en-US" w:eastAsia="zh-CN"/>
        </w:rPr>
        <w:t xml:space="preserve"> performance</w:t>
      </w:r>
      <w:r>
        <w:rPr>
          <w:rFonts w:hint="eastAsia" w:ascii="Times New Roman" w:hAnsi="Times New Roman" w:eastAsia="宋体" w:cs="Times New Roman"/>
          <w:b/>
          <w:bCs w:val="0"/>
          <w:i/>
          <w:iCs w:val="0"/>
          <w:sz w:val="20"/>
          <w:szCs w:val="20"/>
          <w:lang w:val="en-US" w:eastAsia="zh-CN"/>
        </w:rPr>
        <w:t>.</w:t>
      </w:r>
    </w:p>
    <w:p w14:paraId="3130975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RAN2 agreement that measurement prediction accuracy for cell-level RRM measurement prediction is defined as average L3 RSRP difference between predicted L3 filtered cell-level measurement result and actual L3 filtered cell-level measurement result of the same cell, from RAN4 requirements point of view, it is proposed to further clarify the detail of actual L3 level measurement results. </w:t>
      </w:r>
    </w:p>
    <w:p w14:paraId="5E6FCAD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the cell level RSRP prediction accuracy is proposed as following: </w:t>
      </w:r>
    </w:p>
    <w:p w14:paraId="2D530903">
      <w:pPr>
        <w:numPr>
          <w:ilvl w:val="0"/>
          <w:numId w:val="8"/>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default" w:ascii="Times New Roman" w:hAnsi="Times New Roman" w:eastAsia="Yu Mincho" w:cs="Times New Roman"/>
          <w:b/>
          <w:bCs w:val="0"/>
          <w:i/>
          <w:iCs w:val="0"/>
          <w:color w:val="auto"/>
          <w:sz w:val="20"/>
          <w:szCs w:val="20"/>
          <w:lang w:eastAsia="ja-JP"/>
        </w:rPr>
        <w:t xml:space="preserve">Absolute </w:t>
      </w:r>
      <w:r>
        <w:rPr>
          <w:rFonts w:hint="eastAsia" w:ascii="Times New Roman" w:hAnsi="Times New Roman" w:eastAsia="等线"/>
          <w:b/>
          <w:bCs w:val="0"/>
          <w:i/>
          <w:iCs w:val="0"/>
          <w:sz w:val="20"/>
          <w:szCs w:val="20"/>
          <w:lang w:val="en-US" w:eastAsia="zh-CN"/>
        </w:rPr>
        <w:t xml:space="preserve">cell level </w:t>
      </w:r>
      <w:r>
        <w:rPr>
          <w:rFonts w:hint="default" w:ascii="Times New Roman" w:hAnsi="Times New Roman" w:eastAsia="Yu Mincho" w:cs="Times New Roman"/>
          <w:b/>
          <w:bCs w:val="0"/>
          <w:i/>
          <w:iCs w:val="0"/>
          <w:color w:val="auto"/>
          <w:sz w:val="20"/>
          <w:szCs w:val="20"/>
          <w:lang w:eastAsia="ja-JP"/>
        </w:rPr>
        <w:t>RSRP accuracy</w:t>
      </w:r>
      <w:r>
        <w:rPr>
          <w:rFonts w:hint="eastAsia" w:ascii="Times New Roman" w:hAnsi="Times New Roman" w:eastAsia="宋体" w:cs="Times New Roman"/>
          <w:b/>
          <w:bCs w:val="0"/>
          <w:i/>
          <w:iCs w:val="0"/>
          <w:color w:val="auto"/>
          <w:sz w:val="20"/>
          <w:szCs w:val="20"/>
          <w:lang w:val="en-US" w:eastAsia="zh-CN"/>
        </w:rPr>
        <w:t xml:space="preserve"> </w:t>
      </w:r>
      <w:r>
        <w:rPr>
          <w:rFonts w:hint="default" w:ascii="Times New Roman" w:hAnsi="Times New Roman" w:eastAsia="Yu Mincho" w:cs="Times New Roman"/>
          <w:b/>
          <w:bCs w:val="0"/>
          <w:i/>
          <w:iCs w:val="0"/>
          <w:color w:val="auto"/>
          <w:sz w:val="20"/>
          <w:szCs w:val="20"/>
          <w:lang w:eastAsia="ja-JP"/>
        </w:rPr>
        <w:t xml:space="preserve">= </w:t>
      </w:r>
      <w:r>
        <w:rPr>
          <w:rFonts w:hint="eastAsia" w:ascii="Times New Roman" w:hAnsi="Times New Roman" w:eastAsia="宋体" w:cs="Times New Roman"/>
          <w:b/>
          <w:bCs w:val="0"/>
          <w:i/>
          <w:iCs w:val="0"/>
          <w:color w:val="auto"/>
          <w:sz w:val="20"/>
          <w:szCs w:val="20"/>
          <w:lang w:val="en-US" w:eastAsia="zh-CN"/>
        </w:rPr>
        <w:t xml:space="preserve"> </w:t>
      </w:r>
      <w:r>
        <w:rPr>
          <w:rFonts w:hint="default" w:ascii="Times New Roman" w:hAnsi="Times New Roman" w:eastAsia="Yu Mincho" w:cs="Times New Roman"/>
          <w:b/>
          <w:bCs w:val="0"/>
          <w:i/>
          <w:iCs w:val="0"/>
          <w:color w:val="auto"/>
          <w:sz w:val="20"/>
          <w:szCs w:val="20"/>
          <w:lang w:eastAsia="ja-JP"/>
        </w:rPr>
        <w:t>predicted L</w:t>
      </w:r>
      <w:r>
        <w:rPr>
          <w:rFonts w:hint="eastAsia" w:ascii="Times New Roman" w:hAnsi="Times New Roman" w:eastAsia="宋体" w:cs="Times New Roman"/>
          <w:b/>
          <w:bCs w:val="0"/>
          <w:i/>
          <w:iCs w:val="0"/>
          <w:color w:val="auto"/>
          <w:sz w:val="20"/>
          <w:szCs w:val="20"/>
          <w:lang w:val="en-US" w:eastAsia="zh-CN"/>
        </w:rPr>
        <w:t>3</w:t>
      </w:r>
      <w:r>
        <w:rPr>
          <w:rFonts w:hint="default" w:ascii="Times New Roman" w:hAnsi="Times New Roman" w:eastAsia="Yu Mincho" w:cs="Times New Roman"/>
          <w:b/>
          <w:bCs w:val="0"/>
          <w:i/>
          <w:iCs w:val="0"/>
          <w:color w:val="auto"/>
          <w:sz w:val="20"/>
          <w:szCs w:val="20"/>
          <w:lang w:eastAsia="ja-JP"/>
        </w:rPr>
        <w:t xml:space="preserve">-RSRP of </w:t>
      </w:r>
      <w:r>
        <w:rPr>
          <w:rFonts w:hint="eastAsia" w:ascii="Times New Roman" w:hAnsi="Times New Roman" w:eastAsia="宋体" w:cs="Times New Roman"/>
          <w:b/>
          <w:bCs w:val="0"/>
          <w:i/>
          <w:iCs w:val="0"/>
          <w:color w:val="auto"/>
          <w:sz w:val="20"/>
          <w:szCs w:val="20"/>
          <w:lang w:val="en-US" w:eastAsia="zh-CN"/>
        </w:rPr>
        <w:t>cell</w:t>
      </w:r>
      <w:r>
        <w:rPr>
          <w:rFonts w:hint="default" w:ascii="Times New Roman" w:hAnsi="Times New Roman" w:eastAsia="Yu Mincho" w:cs="Times New Roman"/>
          <w:b/>
          <w:bCs w:val="0"/>
          <w:i/>
          <w:iCs w:val="0"/>
          <w:color w:val="auto"/>
          <w:sz w:val="20"/>
          <w:szCs w:val="20"/>
          <w:lang w:eastAsia="ja-JP"/>
        </w:rPr>
        <w:t xml:space="preserve"> i –</w:t>
      </w:r>
      <w:r>
        <w:rPr>
          <w:rFonts w:hint="eastAsia" w:ascii="Times New Roman" w:hAnsi="Times New Roman" w:eastAsia="宋体" w:cs="Times New Roman"/>
          <w:b/>
          <w:bCs w:val="0"/>
          <w:i/>
          <w:iCs w:val="0"/>
          <w:color w:val="auto"/>
          <w:sz w:val="20"/>
          <w:szCs w:val="20"/>
          <w:lang w:val="en-US" w:eastAsia="zh-CN"/>
        </w:rPr>
        <w:t xml:space="preserve"> </w:t>
      </w:r>
      <w:r>
        <w:rPr>
          <w:rFonts w:hint="eastAsia" w:ascii="Times New Roman" w:hAnsi="Times New Roman" w:eastAsia="等线"/>
          <w:b/>
          <w:bCs w:val="0"/>
          <w:i/>
          <w:iCs w:val="0"/>
          <w:sz w:val="20"/>
          <w:szCs w:val="20"/>
          <w:lang w:val="en-US" w:eastAsia="zh-CN"/>
        </w:rPr>
        <w:t>ideal measured L3-RSRP of cell i</w:t>
      </w:r>
    </w:p>
    <w:p w14:paraId="7E2E0D03">
      <w:pPr>
        <w:numPr>
          <w:ilvl w:val="0"/>
          <w:numId w:val="9"/>
        </w:numPr>
        <w:tabs>
          <w:tab w:val="left" w:pos="420"/>
          <w:tab w:val="clear" w:pos="0"/>
        </w:tabs>
        <w:spacing w:after="180" w:line="240" w:lineRule="exact"/>
        <w:ind w:left="840" w:leftChars="0" w:hanging="420" w:firstLineChars="0"/>
        <w:rPr>
          <w:rFonts w:hint="eastAsia" w:ascii="Times New Roman" w:hAnsi="Times New Roman" w:eastAsia="宋体" w:cs="Times New Roman"/>
          <w:b/>
          <w:bCs w:val="0"/>
          <w:i/>
          <w:iCs w:val="0"/>
          <w:sz w:val="20"/>
          <w:szCs w:val="20"/>
          <w:highlight w:val="none"/>
          <w:lang w:val="en-US" w:eastAsia="zh-CN"/>
        </w:rPr>
      </w:pPr>
      <w:r>
        <w:rPr>
          <w:rFonts w:hint="eastAsia" w:ascii="Times New Roman" w:hAnsi="Times New Roman" w:eastAsia="宋体" w:cs="Times New Roman"/>
          <w:b/>
          <w:bCs w:val="0"/>
          <w:i/>
          <w:iCs w:val="0"/>
          <w:sz w:val="20"/>
          <w:szCs w:val="20"/>
          <w:highlight w:val="none"/>
          <w:lang w:val="en-US" w:eastAsia="zh-CN"/>
        </w:rPr>
        <w:t xml:space="preserve">For FR2, the </w:t>
      </w:r>
      <w:r>
        <w:rPr>
          <w:rFonts w:hint="eastAsia" w:ascii="Times New Roman" w:hAnsi="Times New Roman" w:eastAsia="等线"/>
          <w:b/>
          <w:bCs w:val="0"/>
          <w:i/>
          <w:iCs w:val="0"/>
          <w:sz w:val="20"/>
          <w:szCs w:val="20"/>
          <w:lang w:val="en-US" w:eastAsia="zh-CN"/>
        </w:rPr>
        <w:t>ideal measured L3-RSRP</w:t>
      </w:r>
      <w:r>
        <w:rPr>
          <w:rFonts w:hint="default" w:ascii="Times New Roman" w:hAnsi="Times New Roman" w:eastAsia="Yu Mincho" w:cs="Times New Roman"/>
          <w:b/>
          <w:bCs w:val="0"/>
          <w:i/>
          <w:iCs w:val="0"/>
          <w:sz w:val="20"/>
          <w:szCs w:val="20"/>
          <w:highlight w:val="none"/>
          <w:lang w:eastAsia="ja-JP"/>
        </w:rPr>
        <w:t xml:space="preserve"> is the approximate as the reported RSRP measurement under </w:t>
      </w:r>
      <w:r>
        <w:rPr>
          <w:rFonts w:hint="eastAsia" w:ascii="Times New Roman" w:hAnsi="Times New Roman" w:eastAsia="宋体" w:cs="Times New Roman"/>
          <w:b/>
          <w:bCs w:val="0"/>
          <w:i/>
          <w:iCs w:val="0"/>
          <w:sz w:val="20"/>
          <w:szCs w:val="20"/>
          <w:highlight w:val="none"/>
          <w:lang w:val="en-US" w:eastAsia="zh-CN"/>
        </w:rPr>
        <w:t>a</w:t>
      </w:r>
      <w:r>
        <w:rPr>
          <w:rFonts w:hint="default" w:ascii="Times New Roman" w:hAnsi="Times New Roman" w:eastAsia="Yu Mincho" w:cs="Times New Roman"/>
          <w:b/>
          <w:bCs w:val="0"/>
          <w:i/>
          <w:iCs w:val="0"/>
          <w:sz w:val="20"/>
          <w:szCs w:val="20"/>
          <w:highlight w:val="none"/>
          <w:lang w:eastAsia="ja-JP"/>
        </w:rPr>
        <w:t xml:space="preserve"> certain SNR</w:t>
      </w:r>
      <w:r>
        <w:rPr>
          <w:rFonts w:hint="eastAsia" w:ascii="Times New Roman" w:hAnsi="Times New Roman" w:eastAsia="宋体" w:cs="Times New Roman"/>
          <w:b/>
          <w:bCs w:val="0"/>
          <w:i/>
          <w:iCs w:val="0"/>
          <w:sz w:val="20"/>
          <w:szCs w:val="20"/>
          <w:highlight w:val="none"/>
          <w:lang w:val="en-US" w:eastAsia="zh-CN"/>
        </w:rPr>
        <w:t xml:space="preserve"> (the </w:t>
      </w:r>
      <w:r>
        <w:rPr>
          <w:rFonts w:hint="eastAsia" w:ascii="Times New Roman" w:hAnsi="Times New Roman" w:eastAsia="等线"/>
          <w:b/>
          <w:bCs w:val="0"/>
          <w:i/>
          <w:iCs w:val="0"/>
          <w:sz w:val="20"/>
          <w:szCs w:val="20"/>
          <w:lang w:val="en-US" w:eastAsia="zh-CN"/>
        </w:rPr>
        <w:t>SNR is high enough for sufficient accuracy of reported RSRP</w:t>
      </w:r>
      <w:r>
        <w:rPr>
          <w:rFonts w:hint="eastAsia" w:ascii="Times New Roman" w:hAnsi="Times New Roman" w:eastAsia="宋体" w:cs="Times New Roman"/>
          <w:b/>
          <w:bCs w:val="0"/>
          <w:i/>
          <w:iCs w:val="0"/>
          <w:sz w:val="20"/>
          <w:szCs w:val="20"/>
          <w:highlight w:val="none"/>
          <w:lang w:val="en-US" w:eastAsia="zh-CN"/>
        </w:rPr>
        <w:t>)</w:t>
      </w:r>
    </w:p>
    <w:p w14:paraId="0F73C714">
      <w:pPr>
        <w:numPr>
          <w:ilvl w:val="0"/>
          <w:numId w:val="9"/>
        </w:numPr>
        <w:tabs>
          <w:tab w:val="left" w:pos="420"/>
          <w:tab w:val="clear" w:pos="0"/>
        </w:tabs>
        <w:spacing w:after="180" w:line="240" w:lineRule="exact"/>
        <w:ind w:left="840" w:leftChars="0" w:hanging="420" w:firstLineChars="0"/>
        <w:rPr>
          <w:rFonts w:hint="eastAsia" w:ascii="Times New Roman" w:hAnsi="Times New Roman" w:eastAsia="宋体" w:cs="Times New Roman"/>
          <w:b/>
          <w:bCs w:val="0"/>
          <w:i/>
          <w:iCs w:val="0"/>
          <w:sz w:val="20"/>
          <w:szCs w:val="20"/>
          <w:highlight w:val="none"/>
          <w:lang w:val="en-US" w:eastAsia="zh-CN"/>
        </w:rPr>
      </w:pPr>
      <w:r>
        <w:rPr>
          <w:rFonts w:hint="eastAsia" w:ascii="Times New Roman" w:hAnsi="Times New Roman" w:eastAsia="宋体" w:cs="Times New Roman"/>
          <w:b/>
          <w:bCs w:val="0"/>
          <w:i/>
          <w:iCs w:val="0"/>
          <w:sz w:val="20"/>
          <w:szCs w:val="20"/>
          <w:highlight w:val="none"/>
          <w:lang w:val="en-US" w:eastAsia="zh-CN"/>
        </w:rPr>
        <w:t>For FR1, the ideal measured L3-RSRP</w:t>
      </w:r>
      <w:r>
        <w:rPr>
          <w:rFonts w:hint="default" w:ascii="Times New Roman" w:hAnsi="Times New Roman" w:eastAsia="宋体" w:cs="Times New Roman"/>
          <w:b/>
          <w:bCs w:val="0"/>
          <w:i/>
          <w:iCs w:val="0"/>
          <w:sz w:val="20"/>
          <w:szCs w:val="20"/>
          <w:highlight w:val="none"/>
          <w:lang w:val="en-US" w:eastAsia="ja-JP"/>
        </w:rPr>
        <w:t xml:space="preserve"> is the</w:t>
      </w:r>
      <w:r>
        <w:rPr>
          <w:rFonts w:hint="eastAsia" w:ascii="Times New Roman" w:hAnsi="Times New Roman" w:eastAsia="宋体" w:cs="Times New Roman"/>
          <w:b/>
          <w:bCs w:val="0"/>
          <w:i/>
          <w:iCs w:val="0"/>
          <w:sz w:val="20"/>
          <w:szCs w:val="20"/>
          <w:highlight w:val="none"/>
          <w:lang w:val="en-US" w:eastAsia="zh-CN"/>
        </w:rPr>
        <w:t xml:space="preserve"> transmitted power</w:t>
      </w:r>
      <w:r>
        <w:rPr>
          <w:rFonts w:hint="eastAsia" w:ascii="Times New Roman" w:hAnsi="Times New Roman" w:cs="Times New Roman"/>
          <w:b/>
          <w:bCs w:val="0"/>
          <w:i/>
          <w:iCs w:val="0"/>
          <w:sz w:val="20"/>
          <w:szCs w:val="20"/>
          <w:highlight w:val="none"/>
          <w:lang w:val="en-US" w:eastAsia="zh-CN"/>
        </w:rPr>
        <w:t xml:space="preserve">, which is obtained as the legacy way of conducted test </w:t>
      </w:r>
      <w:r>
        <w:rPr>
          <w:rFonts w:hint="eastAsia" w:ascii="Times New Roman" w:hAnsi="Times New Roman" w:eastAsia="宋体" w:cs="Times New Roman"/>
          <w:b/>
          <w:bCs w:val="0"/>
          <w:i/>
          <w:iCs w:val="0"/>
          <w:sz w:val="20"/>
          <w:szCs w:val="20"/>
          <w:highlight w:val="none"/>
          <w:lang w:val="en-US" w:eastAsia="zh-CN"/>
        </w:rPr>
        <w:t xml:space="preserve"> </w:t>
      </w:r>
    </w:p>
    <w:p w14:paraId="5683A69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to discuss whether to introduce RAN4 requirements about MRRT and MRRS.</w:t>
      </w:r>
    </w:p>
    <w:p w14:paraId="65B9EC3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for RRM measurement prediction, the measurement delay requirements need to be defined/updated</w:t>
      </w:r>
    </w:p>
    <w:p w14:paraId="30B76F56">
      <w:pPr>
        <w:numPr>
          <w:ilvl w:val="0"/>
          <w:numId w:val="10"/>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intra-frequency temporal domain prediction, UE will skip some measurement occasions, which means that only subset of measurement occasions are measured so that SMTC and/or MGRP cannot be directly used in the measurement delay requirements as legacy</w:t>
      </w:r>
    </w:p>
    <w:p w14:paraId="75FB3F06">
      <w:pPr>
        <w:numPr>
          <w:ilvl w:val="0"/>
          <w:numId w:val="10"/>
        </w:numPr>
        <w:spacing w:after="180" w:line="240" w:lineRule="exact"/>
        <w:ind w:left="420" w:leftChars="0" w:hanging="420" w:firstLineChars="0"/>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For inter-frequency inter-cell frequency domain prediction, not all configured MOs need to be measuerd, which means that only the actually measured frequency layers are considered in the measurement delay requirements</w:t>
      </w:r>
    </w:p>
    <w:p w14:paraId="5F08F1C5">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AA1F4B3">
      <w:pPr>
        <w:pStyle w:val="13"/>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738B2F24">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R4-2416855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20AFE6D">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3GPP TR 38.744</w:t>
      </w:r>
      <w:r>
        <w:rPr>
          <w:rFonts w:hint="eastAsia" w:ascii="Times" w:hAnsi="Times" w:eastAsia="宋体"/>
          <w:b w:val="0"/>
          <w:sz w:val="20"/>
          <w:lang w:val="en-US" w:eastAsia="zh-CN"/>
        </w:rPr>
        <w:t>, Study on Artificial Intelligence (AI)/Machine Learning (ML) for mobility in NR</w:t>
      </w:r>
    </w:p>
    <w:p w14:paraId="544A76EC">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70221EBB">
      <w:pPr>
        <w:pStyle w:val="13"/>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Report of 3GPP TSG RAN WG2 meeting #126</w:t>
      </w:r>
    </w:p>
    <w:p w14:paraId="49198761">
      <w:pPr>
        <w:pStyle w:val="13"/>
        <w:framePr w:wrap="auto" w:vAnchor="margin" w:hAnchor="text" w:yAlign="inline"/>
        <w:ind w:right="400"/>
        <w:jc w:val="both"/>
        <w:rPr>
          <w:rFonts w:ascii="Times" w:hAnsi="Times" w:eastAsia="宋体"/>
          <w:b w:val="0"/>
          <w:sz w:val="20"/>
          <w:lang w:eastAsia="zh-CN"/>
        </w:rPr>
      </w:pPr>
    </w:p>
    <w:p w14:paraId="49C24BC8">
      <w:pPr>
        <w:pStyle w:val="13"/>
        <w:framePr w:wrap="auto" w:vAnchor="margin" w:hAnchor="text" w:yAlign="inline"/>
        <w:ind w:right="400"/>
        <w:jc w:val="both"/>
        <w:rPr>
          <w:rFonts w:ascii="Times" w:hAnsi="Times" w:eastAsia="宋体"/>
          <w:b w:val="0"/>
          <w:sz w:val="20"/>
          <w:lang w:eastAsia="zh-CN"/>
        </w:rPr>
      </w:pPr>
    </w:p>
    <w:p w14:paraId="37201D62">
      <w:pPr>
        <w:pStyle w:val="13"/>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CE351"/>
    <w:multiLevelType w:val="singleLevel"/>
    <w:tmpl w:val="84BCE351"/>
    <w:lvl w:ilvl="0" w:tentative="0">
      <w:start w:val="1"/>
      <w:numFmt w:val="bullet"/>
      <w:lvlText w:val=""/>
      <w:lvlJc w:val="left"/>
      <w:pPr>
        <w:ind w:left="420" w:hanging="420"/>
      </w:pPr>
      <w:rPr>
        <w:rFonts w:hint="default" w:ascii="Wingdings" w:hAnsi="Wingdings"/>
      </w:rPr>
    </w:lvl>
  </w:abstractNum>
  <w:abstractNum w:abstractNumId="1">
    <w:nsid w:val="DDB78982"/>
    <w:multiLevelType w:val="singleLevel"/>
    <w:tmpl w:val="DDB78982"/>
    <w:lvl w:ilvl="0" w:tentative="0">
      <w:start w:val="1"/>
      <w:numFmt w:val="bullet"/>
      <w:lvlText w:val=""/>
      <w:lvlJc w:val="left"/>
      <w:pPr>
        <w:ind w:left="420" w:hanging="420"/>
      </w:pPr>
      <w:rPr>
        <w:rFonts w:hint="default" w:ascii="Wingdings" w:hAnsi="Wingdings"/>
      </w:rPr>
    </w:lvl>
  </w:abstractNum>
  <w:abstractNum w:abstractNumId="2">
    <w:nsid w:val="F6871401"/>
    <w:multiLevelType w:val="singleLevel"/>
    <w:tmpl w:val="F6871401"/>
    <w:lvl w:ilvl="0" w:tentative="0">
      <w:start w:val="1"/>
      <w:numFmt w:val="decimal"/>
      <w:suff w:val="space"/>
      <w:lvlText w:val="[%1]"/>
      <w:lvlJc w:val="left"/>
    </w:lvl>
  </w:abstractNum>
  <w:abstractNum w:abstractNumId="3">
    <w:nsid w:val="134CE75E"/>
    <w:multiLevelType w:val="singleLevel"/>
    <w:tmpl w:val="134CE75E"/>
    <w:lvl w:ilvl="0" w:tentative="0">
      <w:start w:val="1"/>
      <w:numFmt w:val="bullet"/>
      <w:lvlText w:val=""/>
      <w:lvlJc w:val="left"/>
      <w:pPr>
        <w:tabs>
          <w:tab w:val="left" w:pos="0"/>
        </w:tabs>
        <w:ind w:left="420" w:hanging="420"/>
      </w:pPr>
      <w:rPr>
        <w:rFonts w:hint="default" w:ascii="Wingdings" w:hAnsi="Wingdings"/>
      </w:rPr>
    </w:lvl>
  </w:abstractNum>
  <w:abstractNum w:abstractNumId="4">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F0C1867"/>
    <w:multiLevelType w:val="singleLevel"/>
    <w:tmpl w:val="2F0C1867"/>
    <w:lvl w:ilvl="0" w:tentative="0">
      <w:start w:val="1"/>
      <w:numFmt w:val="bullet"/>
      <w:lvlText w:val=""/>
      <w:lvlJc w:val="left"/>
      <w:pPr>
        <w:tabs>
          <w:tab w:val="left" w:pos="-420"/>
        </w:tabs>
        <w:ind w:left="0" w:hanging="420"/>
      </w:pPr>
      <w:rPr>
        <w:rFonts w:hint="default" w:ascii="Wingdings" w:hAnsi="Wingdings"/>
      </w:rPr>
    </w:lvl>
  </w:abstractNum>
  <w:abstractNum w:abstractNumId="7">
    <w:nsid w:val="43F96F35"/>
    <w:multiLevelType w:val="multilevel"/>
    <w:tmpl w:val="43F96F35"/>
    <w:lvl w:ilvl="0" w:tentative="0">
      <w:start w:val="1"/>
      <w:numFmt w:val="bullet"/>
      <w:lvlText w:val="-"/>
      <w:lvlJc w:val="left"/>
      <w:pPr>
        <w:ind w:left="1979" w:hanging="360"/>
      </w:pPr>
      <w:rPr>
        <w:rFonts w:hint="default" w:ascii="Arial" w:hAnsi="Arial" w:eastAsia="宋体" w:cs="Aria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2021533"/>
    <w:multiLevelType w:val="singleLevel"/>
    <w:tmpl w:val="62021533"/>
    <w:lvl w:ilvl="0" w:tentative="0">
      <w:start w:val="1"/>
      <w:numFmt w:val="bullet"/>
      <w:lvlText w:val=""/>
      <w:lvlJc w:val="left"/>
      <w:pPr>
        <w:ind w:left="420" w:hanging="42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5"/>
  </w:num>
  <w:num w:numId="3">
    <w:abstractNumId w:val="4"/>
  </w:num>
  <w:num w:numId="4">
    <w:abstractNumId w:val="8"/>
  </w:num>
  <w:num w:numId="5">
    <w:abstractNumId w:val="0"/>
  </w:num>
  <w:num w:numId="6">
    <w:abstractNumId w:val="7"/>
  </w:num>
  <w:num w:numId="7">
    <w:abstractNumId w:val="1"/>
  </w:num>
  <w:num w:numId="8">
    <w:abstractNumId w:val="6"/>
  </w:num>
  <w:num w:numId="9">
    <w:abstractNumId w:val="3"/>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B37C7"/>
    <w:rsid w:val="03B64756"/>
    <w:rsid w:val="05581271"/>
    <w:rsid w:val="095F3199"/>
    <w:rsid w:val="13E54515"/>
    <w:rsid w:val="154B4C98"/>
    <w:rsid w:val="1E262080"/>
    <w:rsid w:val="1EA13FCF"/>
    <w:rsid w:val="21F229A5"/>
    <w:rsid w:val="22F84732"/>
    <w:rsid w:val="296A6325"/>
    <w:rsid w:val="31B53264"/>
    <w:rsid w:val="351D1843"/>
    <w:rsid w:val="3850290E"/>
    <w:rsid w:val="39A706A6"/>
    <w:rsid w:val="3AF811CC"/>
    <w:rsid w:val="41597CC1"/>
    <w:rsid w:val="45251780"/>
    <w:rsid w:val="486C7D0F"/>
    <w:rsid w:val="48BD345D"/>
    <w:rsid w:val="4F01352B"/>
    <w:rsid w:val="521A547C"/>
    <w:rsid w:val="56582839"/>
    <w:rsid w:val="5798278D"/>
    <w:rsid w:val="59A65848"/>
    <w:rsid w:val="5C491F27"/>
    <w:rsid w:val="61DF3A9F"/>
    <w:rsid w:val="676E7F3D"/>
    <w:rsid w:val="67A4673A"/>
    <w:rsid w:val="6C642F64"/>
    <w:rsid w:val="71A82806"/>
    <w:rsid w:val="73C17630"/>
    <w:rsid w:val="77B91A3C"/>
    <w:rsid w:val="77F160D3"/>
    <w:rsid w:val="79670D3F"/>
    <w:rsid w:val="7DB24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2024-11-08T08:23:02Z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